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2008年---激光设备机床供应商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2011年---激光设备整机设计和配件方案供应商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2013年---增加激光设备整机OEM代工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2014年---增加激光设备整机ODM代工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2018年---成立独立品牌：东莞市长长激光智能设备有限公司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品牌产品---光纤激光切板机、光纤激光切管机、激光焊接机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2020年---长长品牌工厂智能化转型助力工业4.0、《中国制造2025》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2021年---专业的全套工业自动化工程解决方案供应商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品牌产品---自动化配套设备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2022年---普及先进的工业激光应用技术，帮助客户实现智能工厂项目。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A5D1F"/>
    <w:rsid w:val="044F35A0"/>
    <w:rsid w:val="1DC55976"/>
    <w:rsid w:val="4A2C103A"/>
    <w:rsid w:val="573241D9"/>
    <w:rsid w:val="6B15773A"/>
    <w:rsid w:val="70D8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2021-12-02T03:05:00Z</dcterms:created>
  <dc:creator>Administrator</dc:creator>
  <cp:lastModifiedBy>长长激光装备@朱明波@15377714545</cp:lastModifiedBy>
  <dcterms:modified xsi:type="dcterms:W3CDTF">2022-02-20T12:28:28Z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575CC4D3248148B69383312A9F42531F</vt:lpwstr>
  </property>
</Properties>
</file>