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</w:pPr>
      <w:bookmarkStart w:id="0" w:name="_Toc28245"/>
      <w:r>
        <w:rPr>
          <w:rFonts w:hint="eastAsia"/>
          <w:lang w:val="en-US" w:eastAsia="zh-CN"/>
        </w:rPr>
        <w:t xml:space="preserve">一、 </w:t>
      </w:r>
      <w:r>
        <w:rPr>
          <w:rFonts w:hint="eastAsia"/>
        </w:rPr>
        <w:t>基本情况</w:t>
      </w:r>
      <w:bookmarkEnd w:id="0"/>
    </w:p>
    <w:tbl>
      <w:tblPr>
        <w:tblStyle w:val="11"/>
        <w:tblW w:w="9508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6"/>
        <w:gridCol w:w="3243"/>
        <w:gridCol w:w="1678"/>
        <w:gridCol w:w="255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申请单位名称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（公章）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江西益洁环保技术有限公司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法定代表人</w:t>
            </w:r>
          </w:p>
        </w:tc>
        <w:tc>
          <w:tcPr>
            <w:tcW w:w="32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邱俊</w:t>
            </w:r>
          </w:p>
        </w:tc>
        <w:tc>
          <w:tcPr>
            <w:tcW w:w="1678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职务</w:t>
            </w:r>
          </w:p>
        </w:tc>
        <w:tc>
          <w:tcPr>
            <w:tcW w:w="255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总经理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成立时间</w:t>
            </w:r>
          </w:p>
        </w:tc>
        <w:tc>
          <w:tcPr>
            <w:tcW w:w="32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2014年11月21日</w:t>
            </w:r>
          </w:p>
        </w:tc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邮政编码</w:t>
            </w:r>
          </w:p>
        </w:tc>
        <w:tc>
          <w:tcPr>
            <w:tcW w:w="25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330031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登记地址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default" w:eastAsia="仿宋"/>
                <w:sz w:val="24"/>
                <w:lang w:val="zh-CN"/>
              </w:rPr>
              <w:t>江西省南昌市红谷滩区红角洲学府大道899号慧谷产业园味棕空间A座5层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注册资金</w:t>
            </w:r>
          </w:p>
        </w:tc>
        <w:tc>
          <w:tcPr>
            <w:tcW w:w="32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1000</w:t>
            </w:r>
            <w:r>
              <w:rPr>
                <w:rFonts w:hint="eastAsia" w:eastAsia="仿宋"/>
                <w:sz w:val="24"/>
              </w:rPr>
              <w:t>（万元）</w:t>
            </w:r>
          </w:p>
        </w:tc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固定资产</w:t>
            </w:r>
          </w:p>
        </w:tc>
        <w:tc>
          <w:tcPr>
            <w:tcW w:w="25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1000</w:t>
            </w:r>
            <w:r>
              <w:rPr>
                <w:rFonts w:hint="eastAsia" w:eastAsia="仿宋"/>
                <w:sz w:val="24"/>
              </w:rPr>
              <w:t>（万元）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经济类型</w:t>
            </w:r>
          </w:p>
        </w:tc>
        <w:tc>
          <w:tcPr>
            <w:tcW w:w="32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私营经济</w:t>
            </w:r>
          </w:p>
        </w:tc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工作场所面积</w:t>
            </w:r>
          </w:p>
        </w:tc>
        <w:tc>
          <w:tcPr>
            <w:tcW w:w="25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 xml:space="preserve">      </w:t>
            </w:r>
            <w:r>
              <w:rPr>
                <w:rFonts w:hint="eastAsia" w:eastAsia="仿宋"/>
                <w:sz w:val="24"/>
                <w:lang w:val="en-US" w:eastAsia="zh-CN"/>
              </w:rPr>
              <w:t>470.24</w:t>
            </w:r>
            <w:r>
              <w:rPr>
                <w:rFonts w:hint="eastAsia" w:eastAsia="仿宋"/>
                <w:sz w:val="24"/>
              </w:rPr>
              <w:t xml:space="preserve">       （m2）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联 系 人</w:t>
            </w:r>
          </w:p>
        </w:tc>
        <w:tc>
          <w:tcPr>
            <w:tcW w:w="32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  <w:lang w:eastAsia="zh-CN"/>
              </w:rPr>
            </w:pPr>
            <w:r>
              <w:rPr>
                <w:rFonts w:hint="eastAsia" w:eastAsia="仿宋"/>
                <w:sz w:val="24"/>
                <w:lang w:eastAsia="zh-CN"/>
              </w:rPr>
              <w:t>李莹莹</w:t>
            </w:r>
          </w:p>
        </w:tc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联系电话</w:t>
            </w:r>
          </w:p>
        </w:tc>
        <w:tc>
          <w:tcPr>
            <w:tcW w:w="25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13622693761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传    真</w:t>
            </w:r>
          </w:p>
        </w:tc>
        <w:tc>
          <w:tcPr>
            <w:tcW w:w="32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0791-83953205</w:t>
            </w:r>
          </w:p>
        </w:tc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E-mail</w:t>
            </w:r>
          </w:p>
        </w:tc>
        <w:tc>
          <w:tcPr>
            <w:tcW w:w="25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jxyijie001@126.com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申请单位在本次申请中覆盖的下属子公司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（本列表不够时，可自行加列）</w:t>
            </w:r>
          </w:p>
        </w:tc>
        <w:tc>
          <w:tcPr>
            <w:tcW w:w="492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子公司名称</w:t>
            </w:r>
          </w:p>
        </w:tc>
        <w:tc>
          <w:tcPr>
            <w:tcW w:w="25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申请单位持股比例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</w:p>
        </w:tc>
        <w:tc>
          <w:tcPr>
            <w:tcW w:w="492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  <w:lang w:eastAsia="zh-CN"/>
              </w:rPr>
            </w:pPr>
            <w:r>
              <w:rPr>
                <w:rFonts w:hint="eastAsia" w:eastAsia="仿宋"/>
                <w:sz w:val="24"/>
                <w:lang w:eastAsia="zh-CN"/>
              </w:rPr>
              <w:t>江西益之洁环保技术有限公司</w:t>
            </w:r>
          </w:p>
        </w:tc>
        <w:tc>
          <w:tcPr>
            <w:tcW w:w="25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95%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</w:p>
        </w:tc>
        <w:tc>
          <w:tcPr>
            <w:tcW w:w="492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</w:p>
        </w:tc>
        <w:tc>
          <w:tcPr>
            <w:tcW w:w="25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申请单位人员情况（含子公司）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 xml:space="preserve">1、技术人员共 </w:t>
            </w:r>
            <w:r>
              <w:rPr>
                <w:rFonts w:hint="eastAsia"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 xml:space="preserve">14 </w:t>
            </w:r>
            <w:r>
              <w:rPr>
                <w:rFonts w:hint="eastAsia" w:eastAsia="仿宋"/>
                <w:sz w:val="24"/>
              </w:rPr>
              <w:t xml:space="preserve">  名；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 xml:space="preserve">其中，高级职称  </w:t>
            </w:r>
            <w:r>
              <w:rPr>
                <w:rFonts w:hint="eastAsia"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1</w:t>
            </w:r>
            <w:r>
              <w:rPr>
                <w:rFonts w:hint="eastAsia" w:eastAsia="仿宋"/>
                <w:sz w:val="24"/>
              </w:rPr>
              <w:t xml:space="preserve">  名；中级职称</w:t>
            </w:r>
            <w:r>
              <w:rPr>
                <w:rFonts w:hint="eastAsia"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4</w:t>
            </w:r>
            <w:r>
              <w:rPr>
                <w:rFonts w:hint="eastAsia"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</w:rPr>
              <w:t xml:space="preserve">名；初级职称 </w:t>
            </w:r>
            <w:r>
              <w:rPr>
                <w:rFonts w:hint="eastAsia"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</w:rPr>
              <w:t>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eastAsia="仿宋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 xml:space="preserve">2、现场运行人员共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10</w:t>
            </w:r>
            <w:r>
              <w:rPr>
                <w:rFonts w:hint="eastAsia"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</w:rPr>
              <w:t xml:space="preserve"> 名；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 xml:space="preserve">其中，取得环境污染治理设施运行人员考试合格证书的人员 </w:t>
            </w:r>
            <w:r>
              <w:rPr>
                <w:rFonts w:hint="eastAsia"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10</w:t>
            </w:r>
            <w:r>
              <w:rPr>
                <w:rFonts w:hint="eastAsia"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</w:rPr>
              <w:t>名。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申请类别与级别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  <w: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生活污水处理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sym w:font="Wingdings 2" w:char="0052"/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sym w:font="Wingdings 2" w:char="00A3"/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2、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工业废水处理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sym w:font="Wingdings 2" w:char="0052"/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sym w:font="Wingdings 2" w:char="00A3"/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3、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除尘脱硫脱硝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4、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工业废气处理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5、</w:t>
            </w:r>
            <w:r>
              <w:rPr>
                <w:rFonts w:hint="eastAsia" w:ascii="仿宋" w:hAnsi="仿宋" w:eastAsia="仿宋"/>
                <w:spacing w:val="-20"/>
                <w:sz w:val="24"/>
              </w:rPr>
              <w:t>一般</w:t>
            </w:r>
            <w:r>
              <w:rPr>
                <w:rFonts w:hint="eastAsia" w:eastAsia="仿宋_GB2312" w:cs="宋体"/>
                <w:spacing w:val="-20"/>
                <w:kern w:val="0"/>
                <w:sz w:val="24"/>
                <w:szCs w:val="28"/>
              </w:rPr>
              <w:t xml:space="preserve">工业固体废物无害化处理处置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6、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有机废物处理处置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</w:pP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7、生活垃圾处理处置   </w:t>
            </w:r>
            <w:r>
              <w:rPr>
                <w:rFonts w:hint="eastAsia" w:eastAsia="仿宋_GB2312" w:cs="宋体"/>
                <w:kern w:val="0"/>
                <w:sz w:val="30"/>
                <w:szCs w:val="30"/>
              </w:rPr>
              <w:t xml:space="preserve">   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仿宋" w:hAnsi="仿宋" w:eastAsia="仿宋" w:cs="宋体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</w:rPr>
              <w:t>同一类别评价只可选择一个级别，否则按无效申请处理；在相应的□中划√。</w:t>
            </w:r>
          </w:p>
        </w:tc>
      </w:tr>
    </w:tbl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</w:pPr>
    </w:p>
    <w:p>
      <w:pPr>
        <w:pStyle w:val="4"/>
        <w:bidi w:val="0"/>
      </w:pPr>
      <w:bookmarkStart w:id="1" w:name="_Toc15171"/>
      <w:r>
        <w:rPr>
          <w:rFonts w:hint="eastAsia"/>
          <w:lang w:val="en-US" w:eastAsia="zh-CN"/>
        </w:rPr>
        <w:t>二、</w:t>
      </w:r>
      <w:r>
        <w:rPr>
          <w:rFonts w:hint="eastAsia"/>
        </w:rPr>
        <w:t>管理概况和应急预案</w:t>
      </w:r>
      <w:bookmarkEnd w:id="1"/>
    </w:p>
    <w:tbl>
      <w:tblPr>
        <w:tblStyle w:val="12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2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9" w:hRule="atLeast"/>
        </w:trPr>
        <w:tc>
          <w:tcPr>
            <w:tcW w:w="8472" w:type="dxa"/>
          </w:tcPr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  <w:r>
              <w:rPr>
                <w:rFonts w:hint="eastAsia" w:ascii="仿宋" w:hAnsi="仿宋" w:eastAsia="仿宋" w:cs="方正仿宋_GBK"/>
                <w:sz w:val="24"/>
              </w:rPr>
              <w:t>（一）运行服务质量管理体系框图及质量管理文件清单</w:t>
            </w:r>
          </w:p>
          <w:p>
            <w:pPr>
              <w:spacing w:line="360" w:lineRule="auto"/>
              <w:rPr>
                <w:rFonts w:ascii="仿宋" w:hAnsi="仿宋" w:eastAsia="仿宋" w:cs="方正仿宋_GBK"/>
                <w:sz w:val="24"/>
              </w:rPr>
            </w:pPr>
            <w:r>
              <w:drawing>
                <wp:inline distT="0" distB="0" distL="0" distR="0">
                  <wp:extent cx="5177790" cy="4492625"/>
                  <wp:effectExtent l="0" t="0" r="381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49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</w:p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</w:p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  <w:r>
              <w:rPr>
                <w:rFonts w:hint="eastAsia" w:ascii="仿宋" w:hAnsi="仿宋" w:eastAsia="仿宋" w:cs="方正仿宋_GBK"/>
                <w:sz w:val="24"/>
              </w:rPr>
              <w:t>（二）</w:t>
            </w:r>
            <w:r>
              <w:rPr>
                <w:rFonts w:ascii="仿宋" w:hAnsi="仿宋" w:eastAsia="仿宋"/>
                <w:sz w:val="24"/>
              </w:rPr>
              <w:t>突发环境事件应急预案</w:t>
            </w:r>
            <w:r>
              <w:rPr>
                <w:rFonts w:hint="eastAsia" w:ascii="仿宋" w:hAnsi="仿宋" w:eastAsia="仿宋"/>
                <w:sz w:val="24"/>
              </w:rPr>
              <w:t>建立情况</w:t>
            </w:r>
          </w:p>
          <w:p>
            <w:pPr>
              <w:bidi w:val="0"/>
              <w:ind w:firstLine="632" w:firstLineChars="300"/>
              <w:jc w:val="left"/>
              <w:rPr>
                <w:rFonts w:eastAsia="黑体"/>
              </w:rPr>
            </w:pPr>
            <w:r>
              <w:rPr>
                <w:rFonts w:hint="eastAsia"/>
                <w:b/>
                <w:bCs/>
              </w:rPr>
              <w:t>见P3</w:t>
            </w:r>
            <w:r>
              <w:rPr>
                <w:rFonts w:hint="eastAsia"/>
                <w:b/>
                <w:bCs/>
                <w:lang w:val="en-US" w:eastAsia="zh-CN"/>
              </w:rPr>
              <w:t>5</w:t>
            </w:r>
            <w:r>
              <w:rPr>
                <w:rFonts w:hint="eastAsia"/>
                <w:b/>
                <w:bCs/>
              </w:rPr>
              <w:t xml:space="preserve">  4.2</w:t>
            </w:r>
            <w:r>
              <w:rPr>
                <w:b/>
                <w:bCs/>
              </w:rPr>
              <w:t>突发环境事件应急预案</w:t>
            </w:r>
          </w:p>
        </w:tc>
      </w:tr>
    </w:tbl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</w:pPr>
    </w:p>
    <w:p>
      <w:pPr>
        <w:widowControl/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br w:type="page"/>
      </w:r>
    </w:p>
    <w:p>
      <w:pPr>
        <w:pStyle w:val="4"/>
        <w:bidi w:val="0"/>
        <w:rPr>
          <w:rFonts w:hint="eastAsia"/>
        </w:rPr>
      </w:pPr>
      <w:bookmarkStart w:id="2" w:name="_Toc3035"/>
      <w:r>
        <w:rPr>
          <w:rFonts w:hint="eastAsia"/>
          <w:lang w:val="en-US" w:eastAsia="zh-CN"/>
        </w:rPr>
        <w:t>三、</w:t>
      </w:r>
      <w:r>
        <w:rPr>
          <w:rFonts w:hint="eastAsia"/>
        </w:rPr>
        <w:t>实验室及检测能力</w:t>
      </w:r>
      <w:bookmarkEnd w:id="2"/>
    </w:p>
    <w:tbl>
      <w:tblPr>
        <w:tblStyle w:val="12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6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</w:tblPrEx>
        <w:trPr>
          <w:trHeight w:val="12874" w:hRule="atLeast"/>
        </w:trPr>
        <w:tc>
          <w:tcPr>
            <w:tcW w:w="8472" w:type="dxa"/>
          </w:tcPr>
          <w:p>
            <w:pPr>
              <w:spacing w:line="600" w:lineRule="exact"/>
              <w:rPr>
                <w:rFonts w:hint="eastAsia" w:eastAsia="仿宋_GB2312" w:cs="方正仿宋_GBK"/>
                <w:sz w:val="24"/>
              </w:rPr>
            </w:pPr>
            <w:r>
              <w:rPr>
                <w:rFonts w:hint="eastAsia" w:eastAsia="仿宋_GB2312" w:cs="方正仿宋_GBK"/>
                <w:sz w:val="24"/>
              </w:rPr>
              <w:t>（一）实验室和检测条件</w:t>
            </w:r>
          </w:p>
          <w:p>
            <w:pPr>
              <w:spacing w:line="600" w:lineRule="exact"/>
              <w:ind w:firstLine="472" w:firstLineChars="196"/>
              <w:rPr>
                <w:rFonts w:hint="eastAsia" w:eastAsia="仿宋_GB2312" w:cs="方正仿宋_GBK"/>
                <w:b/>
                <w:sz w:val="24"/>
                <w:lang w:eastAsia="zh-CN"/>
              </w:rPr>
            </w:pPr>
            <w:r>
              <w:rPr>
                <w:rFonts w:hint="eastAsia" w:eastAsia="仿宋_GB2312" w:cs="方正仿宋_GBK"/>
                <w:b/>
                <w:sz w:val="24"/>
              </w:rPr>
              <w:t>与南昌大学资源环境与化工学院</w:t>
            </w:r>
            <w:r>
              <w:rPr>
                <w:rFonts w:hint="eastAsia" w:eastAsia="仿宋_GB2312" w:cs="方正仿宋_GBK"/>
                <w:b/>
                <w:sz w:val="24"/>
                <w:lang w:eastAsia="zh-CN"/>
              </w:rPr>
              <w:t>已取得CMA资质的南昌大学环境检测中心</w:t>
            </w:r>
            <w:r>
              <w:rPr>
                <w:rFonts w:hint="eastAsia" w:eastAsia="仿宋_GB2312" w:cs="方正仿宋_GBK"/>
                <w:b/>
                <w:sz w:val="24"/>
              </w:rPr>
              <w:t>签订</w:t>
            </w:r>
            <w:r>
              <w:rPr>
                <w:rFonts w:hint="eastAsia" w:eastAsia="仿宋_GB2312" w:cs="方正仿宋_GBK"/>
                <w:b/>
                <w:sz w:val="24"/>
                <w:lang w:eastAsia="zh-CN"/>
              </w:rPr>
              <w:t>了</w:t>
            </w:r>
            <w:r>
              <w:rPr>
                <w:rFonts w:hint="eastAsia" w:eastAsia="仿宋_GB2312" w:cs="方正仿宋_GBK"/>
                <w:b/>
                <w:sz w:val="24"/>
              </w:rPr>
              <w:t>关于实验室设备无偿使用协议</w:t>
            </w:r>
            <w:r>
              <w:rPr>
                <w:rFonts w:hint="eastAsia" w:eastAsia="仿宋_GB2312" w:cs="方正仿宋_GBK"/>
                <w:b/>
                <w:sz w:val="24"/>
                <w:lang w:eastAsia="zh-CN"/>
              </w:rPr>
              <w:t>。</w:t>
            </w:r>
          </w:p>
          <w:p>
            <w:pPr>
              <w:spacing w:line="360" w:lineRule="auto"/>
              <w:jc w:val="center"/>
              <w:rPr>
                <w:rFonts w:hint="eastAsia" w:eastAsia="仿宋_GB2312" w:cs="方正仿宋_GBK"/>
                <w:sz w:val="24"/>
                <w:lang w:eastAsia="zh-CN"/>
              </w:rPr>
            </w:pPr>
          </w:p>
          <w:p>
            <w:pPr>
              <w:rPr>
                <w:rFonts w:eastAsia="仿宋_GB2312" w:cs="方正仿宋_GBK"/>
                <w:sz w:val="24"/>
              </w:rPr>
            </w:pPr>
            <w:r>
              <w:rPr>
                <w:rFonts w:eastAsia="仿宋_GB2312" w:cs="方正仿宋_GBK"/>
                <w:sz w:val="24"/>
              </w:rPr>
              <w:drawing>
                <wp:inline distT="0" distB="0" distL="0" distR="0">
                  <wp:extent cx="5299710" cy="7409180"/>
                  <wp:effectExtent l="0" t="0" r="15240" b="1270"/>
                  <wp:docPr id="234" name="图片 234" descr="C:\Users\ADMINI~1\AppData\Local\Temp\360zip$Temp\360$2\20180712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 descr="C:\Users\ADMINI~1\AppData\Local\Temp\360zip$Temp\360$2\201807122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710" cy="740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eastAsia="仿宋_GB2312" w:cs="方正仿宋_GBK"/>
                <w:sz w:val="24"/>
              </w:rPr>
            </w:pPr>
          </w:p>
          <w:p>
            <w:pPr>
              <w:rPr>
                <w:rFonts w:eastAsia="仿宋_GB2312" w:cs="方正仿宋_GBK"/>
                <w:sz w:val="24"/>
              </w:rPr>
            </w:pPr>
          </w:p>
          <w:p>
            <w:pPr>
              <w:pStyle w:val="9"/>
            </w:pPr>
          </w:p>
          <w:p>
            <w:pPr>
              <w:rPr>
                <w:rFonts w:eastAsia="仿宋_GB2312" w:cs="方正仿宋_GBK"/>
                <w:sz w:val="24"/>
              </w:rPr>
            </w:pPr>
          </w:p>
          <w:p>
            <w:pPr>
              <w:rPr>
                <w:rFonts w:eastAsia="仿宋_GB2312" w:cs="方正仿宋_GBK"/>
                <w:b/>
                <w:sz w:val="24"/>
              </w:rPr>
            </w:pPr>
            <w:r>
              <w:rPr>
                <w:rFonts w:hint="eastAsia" w:eastAsia="仿宋_GB2312" w:cs="方正仿宋_GBK"/>
                <w:b/>
                <w:sz w:val="24"/>
              </w:rPr>
              <w:t>检测条件：</w:t>
            </w:r>
          </w:p>
          <w:p>
            <w:pPr>
              <w:rPr>
                <w:rFonts w:eastAsia="仿宋_GB2312" w:cs="方正仿宋_GBK"/>
                <w:b/>
                <w:sz w:val="24"/>
              </w:rPr>
            </w:pPr>
            <w:r>
              <w:rPr>
                <w:rFonts w:hint="eastAsia" w:eastAsia="仿宋_GB2312" w:cs="方正仿宋_GBK"/>
                <w:b/>
                <w:sz w:val="24"/>
              </w:rPr>
              <w:t>（1）仪器清单</w:t>
            </w:r>
          </w:p>
          <w:p>
            <w:pPr>
              <w:jc w:val="center"/>
              <w:rPr>
                <w:rFonts w:eastAsia="仿宋_GB2312" w:cs="方正仿宋_GBK"/>
                <w:sz w:val="24"/>
              </w:rPr>
            </w:pPr>
          </w:p>
          <w:tbl>
            <w:tblPr>
              <w:tblStyle w:val="11"/>
              <w:tblW w:w="8314" w:type="dxa"/>
              <w:tblInd w:w="0" w:type="dxa"/>
              <w:tblBorders>
                <w:top w:val="thinThickSmallGap" w:color="auto" w:sz="12" w:space="0"/>
                <w:left w:val="single" w:color="auto" w:sz="4" w:space="0"/>
                <w:bottom w:val="thickThinSmallGap" w:color="auto" w:sz="12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8"/>
              <w:gridCol w:w="2310"/>
              <w:gridCol w:w="1985"/>
              <w:gridCol w:w="837"/>
              <w:gridCol w:w="1184"/>
              <w:gridCol w:w="1550"/>
            </w:tblGrid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冷原子荧光测汞仪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ZYG-II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测汞仪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CG-1C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原子荧光光度计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AFS-8230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离子色谱仪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883.002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油气回收智能检测仪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YQJY-2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液相色谱仪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1260 Infinity II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气相色谱仪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7890B</w:t>
                  </w:r>
                  <w:r>
                    <w:rPr>
                      <w:rFonts w:hint="eastAsia"/>
                      <w:sz w:val="20"/>
                      <w:szCs w:val="20"/>
                    </w:rPr>
                    <w:t>（</w:t>
                  </w:r>
                  <w:r>
                    <w:rPr>
                      <w:sz w:val="20"/>
                      <w:szCs w:val="20"/>
                    </w:rPr>
                    <w:t>FID</w:t>
                  </w:r>
                  <w:r>
                    <w:rPr>
                      <w:rFonts w:hint="eastAsia"/>
                      <w:sz w:val="20"/>
                      <w:szCs w:val="20"/>
                    </w:rPr>
                    <w:t>，</w:t>
                  </w:r>
                  <w:r>
                    <w:rPr>
                      <w:sz w:val="20"/>
                      <w:szCs w:val="20"/>
                    </w:rPr>
                    <w:t>ECD</w:t>
                  </w:r>
                  <w:r>
                    <w:rPr>
                      <w:rFonts w:hint="eastAsia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8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气质联用仪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7890B-5977B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9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气相色谱仪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7890B</w:t>
                  </w:r>
                  <w:r>
                    <w:rPr>
                      <w:rFonts w:hint="eastAsia"/>
                      <w:sz w:val="20"/>
                      <w:szCs w:val="20"/>
                    </w:rPr>
                    <w:t>（</w:t>
                  </w:r>
                  <w:r>
                    <w:rPr>
                      <w:sz w:val="20"/>
                      <w:szCs w:val="20"/>
                    </w:rPr>
                    <w:t>FID</w:t>
                  </w:r>
                  <w:r>
                    <w:rPr>
                      <w:rFonts w:hint="eastAsia"/>
                      <w:sz w:val="20"/>
                      <w:szCs w:val="20"/>
                    </w:rPr>
                    <w:t>，</w:t>
                  </w:r>
                  <w:r>
                    <w:rPr>
                      <w:sz w:val="20"/>
                      <w:szCs w:val="20"/>
                    </w:rPr>
                    <w:t>NPD</w:t>
                  </w:r>
                  <w:r>
                    <w:rPr>
                      <w:rFonts w:hint="eastAsia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电感耦合等离子发射质谱仪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NexION 350X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11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吹扫捕集仪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Atomx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12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原子吸收光谱仪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PinAAcle 900H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13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不锈钢手提式压力蒸汽灭菌锅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LDZX-75KBS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14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生化培养箱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LRH-150F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15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溶解氧仪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JPSJ-605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16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十万分之一天平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MS205DU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17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不锈钢手提式压力蒸汽灭菌锅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LDZX-75KBS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18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超声波清洗器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KQ5200DE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19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可见分光光度计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722G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超纯水机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MINI8-UV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21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电热恒温水浴锅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DZKW-S-6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22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生化培养箱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LRH-150F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23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超声波清洗器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KQ5200DE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COD消解器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XJ-III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25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红外分析仪（CO</w:t>
                  </w:r>
                  <w:r>
                    <w:rPr>
                      <w:rFonts w:hint="eastAsia"/>
                      <w:sz w:val="20"/>
                      <w:szCs w:val="20"/>
                      <w:vertAlign w:val="subscript"/>
                    </w:rPr>
                    <w:t>2</w:t>
                  </w:r>
                  <w:r>
                    <w:rPr>
                      <w:rFonts w:hint="eastAsia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GXH-3010E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26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环境氡测量仪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FD216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27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数字式风速仪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QDF-6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28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多功能声级校准器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AWA6221A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ckThin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48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29</w:t>
                  </w:r>
                </w:p>
              </w:tc>
              <w:tc>
                <w:tcPr>
                  <w:tcW w:w="2310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恒流采样器</w:t>
                  </w:r>
                </w:p>
              </w:tc>
              <w:tc>
                <w:tcPr>
                  <w:tcW w:w="1985" w:type="dxa"/>
                  <w:vAlign w:val="center"/>
                </w:tcPr>
                <w:p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QC-2B</w:t>
                  </w:r>
                </w:p>
              </w:tc>
              <w:tc>
                <w:tcPr>
                  <w:tcW w:w="837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台</w:t>
                  </w:r>
                </w:p>
              </w:tc>
              <w:tc>
                <w:tcPr>
                  <w:tcW w:w="1184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实验室</w:t>
                  </w:r>
                </w:p>
              </w:tc>
              <w:tc>
                <w:tcPr>
                  <w:tcW w:w="1550" w:type="dxa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南昌大学合作</w:t>
                  </w:r>
                </w:p>
              </w:tc>
            </w:tr>
          </w:tbl>
          <w:p>
            <w:pPr>
              <w:jc w:val="center"/>
              <w:rPr>
                <w:rFonts w:eastAsia="仿宋_GB2312" w:cs="方正仿宋_GBK"/>
                <w:sz w:val="24"/>
              </w:rPr>
            </w:pPr>
          </w:p>
          <w:p>
            <w:pPr>
              <w:jc w:val="center"/>
              <w:rPr>
                <w:rFonts w:eastAsia="仿宋_GB2312" w:cs="方正仿宋_GBK"/>
                <w:sz w:val="24"/>
              </w:rPr>
            </w:pPr>
          </w:p>
          <w:p>
            <w:pPr>
              <w:rPr>
                <w:rFonts w:eastAsia="仿宋_GB2312" w:cs="方正仿宋_GBK"/>
                <w:b/>
                <w:sz w:val="24"/>
              </w:rPr>
            </w:pPr>
          </w:p>
          <w:p>
            <w:pPr>
              <w:rPr>
                <w:rFonts w:eastAsia="仿宋_GB2312" w:cs="方正仿宋_GBK"/>
                <w:b/>
                <w:sz w:val="24"/>
              </w:rPr>
            </w:pPr>
            <w:r>
              <w:rPr>
                <w:rFonts w:hint="eastAsia" w:eastAsia="仿宋_GB2312" w:cs="方正仿宋_GBK"/>
                <w:b/>
                <w:sz w:val="24"/>
              </w:rPr>
              <w:t>（2）主要仪器介绍</w:t>
            </w:r>
          </w:p>
          <w:p>
            <w:pPr>
              <w:rPr>
                <w:rFonts w:eastAsia="仿宋_GB2312" w:cs="方正仿宋_GBK"/>
                <w:b/>
                <w:sz w:val="24"/>
              </w:rPr>
            </w:pPr>
          </w:p>
          <w:p>
            <w:pPr>
              <w:rPr>
                <w:rFonts w:eastAsia="仿宋_GB2312" w:cs="方正仿宋_GBK"/>
                <w:b/>
                <w:sz w:val="24"/>
              </w:rPr>
            </w:pPr>
            <w:r>
              <w:rPr>
                <w:rFonts w:hint="eastAsia" w:eastAsia="仿宋_GB2312" w:cs="方正仿宋_GBK"/>
                <w:b/>
                <w:sz w:val="24"/>
              </w:rPr>
              <w:t xml:space="preserve">    </w:t>
            </w:r>
            <w:r>
              <w:rPr>
                <w:rFonts w:eastAsia="仿宋_GB2312" w:cs="方正仿宋_GBK"/>
                <w:b/>
                <w:sz w:val="24"/>
              </w:rPr>
              <w:fldChar w:fldCharType="begin"/>
            </w:r>
            <w:r>
              <w:rPr>
                <w:rFonts w:eastAsia="仿宋_GB2312" w:cs="方正仿宋_GBK"/>
                <w:b/>
                <w:sz w:val="24"/>
              </w:rPr>
              <w:instrText xml:space="preserve"> </w:instrText>
            </w:r>
            <w:r>
              <w:rPr>
                <w:rFonts w:hint="eastAsia" w:eastAsia="仿宋_GB2312" w:cs="方正仿宋_GBK"/>
                <w:b/>
                <w:sz w:val="24"/>
              </w:rPr>
              <w:instrText xml:space="preserve">= 1 \* GB3</w:instrText>
            </w:r>
            <w:r>
              <w:rPr>
                <w:rFonts w:eastAsia="仿宋_GB2312" w:cs="方正仿宋_GBK"/>
                <w:b/>
                <w:sz w:val="24"/>
              </w:rPr>
              <w:instrText xml:space="preserve"> </w:instrText>
            </w:r>
            <w:r>
              <w:rPr>
                <w:rFonts w:eastAsia="仿宋_GB2312" w:cs="方正仿宋_GBK"/>
                <w:b/>
                <w:sz w:val="24"/>
              </w:rPr>
              <w:fldChar w:fldCharType="separate"/>
            </w:r>
            <w:r>
              <w:rPr>
                <w:rFonts w:hint="eastAsia" w:eastAsia="仿宋_GB2312" w:cs="方正仿宋_GBK"/>
                <w:b/>
                <w:sz w:val="24"/>
              </w:rPr>
              <w:t>①</w:t>
            </w:r>
            <w:r>
              <w:rPr>
                <w:rFonts w:eastAsia="仿宋_GB2312" w:cs="方正仿宋_GBK"/>
                <w:b/>
                <w:sz w:val="24"/>
              </w:rPr>
              <w:fldChar w:fldCharType="end"/>
            </w:r>
            <w:r>
              <w:rPr>
                <w:rFonts w:hint="eastAsia" w:eastAsia="仿宋_GB2312" w:cs="方正仿宋_GBK"/>
                <w:b/>
                <w:sz w:val="24"/>
              </w:rPr>
              <w:t>气相色谱仪</w:t>
            </w:r>
          </w:p>
          <w:p>
            <w:pPr>
              <w:jc w:val="center"/>
              <w:rPr>
                <w:rFonts w:eastAsia="仿宋_GB2312" w:cs="方正仿宋_GBK"/>
                <w:sz w:val="24"/>
              </w:rPr>
            </w:pPr>
            <w:r>
              <w:rPr>
                <w:rFonts w:eastAsia="仿宋_GB2312" w:cs="方正仿宋_GBK"/>
                <w:sz w:val="24"/>
              </w:rPr>
              <w:drawing>
                <wp:inline distT="0" distB="0" distL="0" distR="0">
                  <wp:extent cx="5993130" cy="4493895"/>
                  <wp:effectExtent l="0" t="0" r="7620" b="1905"/>
                  <wp:docPr id="120" name="图片 120" descr="C:\Users\ADMINI~1\AppData\Local\Temp\WeChat Files\448407009982308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C:\Users\ADMINI~1\AppData\Local\Temp\WeChat Files\448407009982308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156" cy="449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气相色谱仪，是用气体作为流动相的色谱分析仪器。其原理主要是利用物质的沸点、极性及吸附性质的差异实现混合物的分离。待分析样品在气化室气化后被惰性气体(即载气，亦称流动相)带入色谱柱内，柱内含有液体或固体固定相，样品中各组分都倾向于在流动相和固定相之间形成分配或吸附平衡。随着载气的流动，样品组分在运动中进行反复多次的分配或吸附/解吸，在载气中分配浓度大的组分先流出色谱柱，而在固定相中分配浓度大的组分后流出</w:t>
            </w: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，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组分流出色谱柱后进入检测器被测定</w:t>
            </w: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当多组份的分析物质进入到色谱柱时，由于各组分在色谱柱中的气相和固定液液相间的分配系数不同，因此各组份在色谱柱的运行速度也就不同，经过一定的柱长后，顺序离开色谱柱进入检测器，经检测后转换为电信号送至数据处理工作站，从而完成了对被测物质的定性定量分析。</w:t>
            </w: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hint="eastAsia" w:eastAsia="仿宋_GB2312" w:cs="方正仿宋_GBK"/>
                <w:b/>
                <w:sz w:val="24"/>
              </w:rPr>
              <w:t xml:space="preserve">   </w:t>
            </w:r>
            <w:r>
              <w:rPr>
                <w:rFonts w:hint="eastAsia" w:eastAsia="仿宋_GB2312" w:cs="方正仿宋_GBK"/>
                <w:sz w:val="24"/>
              </w:rPr>
              <w:t xml:space="preserve"> </w:t>
            </w:r>
            <w:r>
              <w:rPr>
                <w:rFonts w:hint="eastAsia" w:cs="方正仿宋_GBK" w:asciiTheme="minorEastAsia" w:hAnsiTheme="minorEastAsia" w:eastAsiaTheme="minorEastAsia"/>
                <w:szCs w:val="21"/>
              </w:rPr>
              <w:t>主要用于大气水源等污染地的痕量毒物分析、监测和研究，</w:t>
            </w:r>
          </w:p>
          <w:p>
            <w:pPr>
              <w:spacing w:line="360" w:lineRule="auto"/>
              <w:ind w:firstLine="480" w:firstLineChars="200"/>
              <w:rPr>
                <w:rFonts w:eastAsia="仿宋_GB2312" w:cs="方正仿宋_GBK"/>
                <w:sz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eastAsia="仿宋_GB2312" w:cs="方正仿宋_GBK"/>
                <w:sz w:val="24"/>
              </w:rPr>
            </w:pPr>
          </w:p>
          <w:p>
            <w:pPr>
              <w:spacing w:line="360" w:lineRule="auto"/>
              <w:rPr>
                <w:rFonts w:eastAsia="仿宋_GB2312" w:cs="方正仿宋_GBK"/>
                <w:sz w:val="24"/>
              </w:rPr>
            </w:pPr>
          </w:p>
          <w:p>
            <w:pPr>
              <w:spacing w:line="360" w:lineRule="auto"/>
              <w:ind w:firstLine="482" w:firstLineChars="200"/>
              <w:rPr>
                <w:rFonts w:eastAsia="仿宋_GB2312" w:cs="方正仿宋_GBK"/>
                <w:b/>
                <w:sz w:val="24"/>
              </w:rPr>
            </w:pPr>
            <w:r>
              <w:rPr>
                <w:rFonts w:eastAsia="仿宋_GB2312" w:cs="方正仿宋_GBK"/>
                <w:b/>
                <w:sz w:val="24"/>
              </w:rPr>
              <w:fldChar w:fldCharType="begin"/>
            </w:r>
            <w:r>
              <w:rPr>
                <w:rFonts w:eastAsia="仿宋_GB2312" w:cs="方正仿宋_GBK"/>
                <w:b/>
                <w:sz w:val="24"/>
              </w:rPr>
              <w:instrText xml:space="preserve"> </w:instrText>
            </w:r>
            <w:r>
              <w:rPr>
                <w:rFonts w:hint="eastAsia" w:eastAsia="仿宋_GB2312" w:cs="方正仿宋_GBK"/>
                <w:b/>
                <w:sz w:val="24"/>
              </w:rPr>
              <w:instrText xml:space="preserve">= 2 \* GB3</w:instrText>
            </w:r>
            <w:r>
              <w:rPr>
                <w:rFonts w:eastAsia="仿宋_GB2312" w:cs="方正仿宋_GBK"/>
                <w:b/>
                <w:sz w:val="24"/>
              </w:rPr>
              <w:instrText xml:space="preserve"> </w:instrText>
            </w:r>
            <w:r>
              <w:rPr>
                <w:rFonts w:eastAsia="仿宋_GB2312" w:cs="方正仿宋_GBK"/>
                <w:b/>
                <w:sz w:val="24"/>
              </w:rPr>
              <w:fldChar w:fldCharType="separate"/>
            </w:r>
            <w:r>
              <w:rPr>
                <w:rFonts w:hint="eastAsia" w:eastAsia="仿宋_GB2312" w:cs="方正仿宋_GBK"/>
                <w:b/>
                <w:sz w:val="24"/>
              </w:rPr>
              <w:t>②</w:t>
            </w:r>
            <w:r>
              <w:rPr>
                <w:rFonts w:eastAsia="仿宋_GB2312" w:cs="方正仿宋_GBK"/>
                <w:b/>
                <w:sz w:val="24"/>
              </w:rPr>
              <w:fldChar w:fldCharType="end"/>
            </w:r>
            <w:r>
              <w:rPr>
                <w:rFonts w:hint="eastAsia" w:eastAsia="仿宋_GB2312" w:cs="方正仿宋_GBK"/>
                <w:b/>
                <w:sz w:val="24"/>
              </w:rPr>
              <w:t>高效液相色谱仪</w:t>
            </w:r>
          </w:p>
          <w:p>
            <w:pPr>
              <w:spacing w:line="360" w:lineRule="auto"/>
              <w:jc w:val="center"/>
              <w:rPr>
                <w:rFonts w:eastAsia="仿宋_GB2312" w:cs="方正仿宋_GBK"/>
                <w:sz w:val="24"/>
              </w:rPr>
            </w:pPr>
            <w:r>
              <w:rPr>
                <w:rFonts w:eastAsia="仿宋_GB2312" w:cs="方正仿宋_GBK"/>
                <w:sz w:val="24"/>
              </w:rPr>
              <w:drawing>
                <wp:inline distT="0" distB="0" distL="0" distR="0">
                  <wp:extent cx="5901055" cy="4425315"/>
                  <wp:effectExtent l="0" t="0" r="4445" b="13335"/>
                  <wp:docPr id="208" name="图片 208" descr="C:\Users\ADMINI~1\AppData\Local\Temp\WeChat Files\44536281505019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 descr="C:\Users\ADMINI~1\AppData\Local\Temp\WeChat Files\44536281505019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984" cy="443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hint="eastAsia" w:cs="方正仿宋_GBK" w:asciiTheme="minorEastAsia" w:hAnsiTheme="minorEastAsia" w:eastAsiaTheme="minorEastAsia"/>
                <w:szCs w:val="21"/>
              </w:rPr>
              <w:t>高效液相色谱是目前应用最多的色谱分析方法，高效液相色谱系统由流动相储液体瓶、输液泵、进样器、色谱柱、检测器和记录器组成，其整体组成类似于气相色谱，但是针对其流动相为液体的特点作出很多调整。HPLC的输液泵要求输液量恒定平稳；进样系统要求进样便利切换严密；由于液体流动相粘度远远高于气体，为了减低柱压高效液相色谱的色谱柱一般比较粗，长度也远小于气相色谱柱。HPLC应用非常广泛，几乎遍及定量定性分析的各个领域。</w:t>
            </w:r>
          </w:p>
          <w:p>
            <w:pPr>
              <w:spacing w:line="360" w:lineRule="auto"/>
              <w:ind w:firstLine="420" w:firstLineChars="200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hint="eastAsia" w:cs="方正仿宋_GBK" w:asciiTheme="minorEastAsia" w:hAnsiTheme="minorEastAsia" w:eastAsiaTheme="minorEastAsia"/>
                <w:szCs w:val="21"/>
              </w:rPr>
              <w:t>使用高效液相色谱时，液体待检测物被注入色谱柱，通过压力在固定相中移动，由于被测物中不同物质与固定相的相互作用不同，不同的物质顺序离开色谱柱，通过检测器得到不同的峰信号，最后通过分析比对这些信号来判断待侧物所含有的物质。</w:t>
            </w:r>
          </w:p>
          <w:p>
            <w:pPr>
              <w:spacing w:line="360" w:lineRule="auto"/>
              <w:ind w:firstLine="420" w:firstLineChars="200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hint="eastAsia" w:cs="方正仿宋_GBK" w:asciiTheme="minorEastAsia" w:hAnsiTheme="minorEastAsia" w:eastAsiaTheme="minorEastAsia"/>
                <w:szCs w:val="21"/>
              </w:rPr>
              <w:t>高效液相色谱仪在环境监测中具有广泛的应用。</w:t>
            </w:r>
          </w:p>
          <w:p>
            <w:pPr>
              <w:spacing w:line="360" w:lineRule="auto"/>
              <w:ind w:firstLine="420" w:firstLineChars="200"/>
              <w:rPr>
                <w:rFonts w:cs="方正仿宋_GBK" w:asciiTheme="minorEastAsia" w:hAnsiTheme="minorEastAsia" w:eastAsiaTheme="minorEastAsia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cs="方正仿宋_GBK" w:asciiTheme="minorEastAsia" w:hAnsiTheme="minorEastAsia" w:eastAsiaTheme="minorEastAsia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cs="方正仿宋_GBK" w:asciiTheme="minorEastAsia" w:hAnsiTheme="minorEastAsia" w:eastAsiaTheme="minorEastAsia"/>
                <w:szCs w:val="21"/>
              </w:rPr>
            </w:pPr>
          </w:p>
          <w:p>
            <w:pPr>
              <w:spacing w:line="360" w:lineRule="auto"/>
              <w:ind w:firstLine="422" w:firstLineChars="200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</w:p>
          <w:p>
            <w:pPr>
              <w:spacing w:line="360" w:lineRule="auto"/>
              <w:ind w:firstLine="422" w:firstLineChars="200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begin"/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instrText xml:space="preserve">= 3 \* GB3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separate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③</w: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end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原子吸收分光光度计</w:t>
            </w:r>
          </w:p>
          <w:p>
            <w:pPr>
              <w:spacing w:line="360" w:lineRule="auto"/>
              <w:jc w:val="center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szCs w:val="21"/>
              </w:rPr>
              <w:drawing>
                <wp:inline distT="0" distB="0" distL="0" distR="0">
                  <wp:extent cx="5921375" cy="4439920"/>
                  <wp:effectExtent l="0" t="0" r="3175" b="17780"/>
                  <wp:docPr id="212" name="图片 212" descr="C:\Users\ADMINI~1\AppData\Local\Temp\WeChat Files\404719167566532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 descr="C:\Users\ADMINI~1\AppData\Local\Temp\WeChat Files\404719167566532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552" cy="444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hint="eastAsia" w:cs="方正仿宋_GBK" w:asciiTheme="minorEastAsia" w:hAnsiTheme="minorEastAsia" w:eastAsiaTheme="minorEastAsia"/>
                <w:szCs w:val="21"/>
              </w:rPr>
              <w:t>原子吸收光谱仪又称原子吸收分光光度计，根据物质基态原子蒸汽对特征辐射吸收的作用来进行金属元素分析。它能够灵敏可靠地测定微量或痕量元素。</w:t>
            </w:r>
          </w:p>
          <w:p>
            <w:pPr>
              <w:spacing w:line="360" w:lineRule="auto"/>
              <w:ind w:firstLine="420" w:firstLineChars="200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hint="eastAsia" w:cs="方正仿宋_GBK" w:asciiTheme="minorEastAsia" w:hAnsiTheme="minorEastAsia" w:eastAsiaTheme="minorEastAsia"/>
                <w:szCs w:val="21"/>
              </w:rPr>
              <w:t>原子吸收分光光度计一般由四大部分组成，即光源(单色锐线辐射源)、试样原子化器、单色仪和数据处理系统(包括光电转换器及相应的检测装置)。</w:t>
            </w: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原子吸收光谱分析，由于其灵敏度高、干扰少、分析方法简单快速，现巳广泛地应用于工业、农业、生化、地质、冶金、食品、环保等各个领域，目前原子吸收巳成为金属元素分析的强有力工具之一，而且在许多领域巳作为标准分析方法。水体样品的微量金属元素分析</w:t>
            </w: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是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原子吸收分析的重要领域之一。利用间接原子吸收法可测定某些非金属元素。</w:t>
            </w: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</w:p>
          <w:p>
            <w:pPr>
              <w:spacing w:line="360" w:lineRule="auto"/>
              <w:ind w:firstLine="422" w:firstLineChars="200"/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  <w:fldChar w:fldCharType="begin"/>
            </w:r>
            <w:r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  <w:instrText xml:space="preserve"> </w:instrText>
            </w:r>
            <w:r>
              <w:rPr>
                <w:rFonts w:hint="eastAsia" w:ascii="Arial" w:hAnsi="Arial" w:cs="Arial"/>
                <w:b/>
                <w:color w:val="333333"/>
                <w:szCs w:val="21"/>
                <w:shd w:val="clear" w:color="auto" w:fill="FFFFFF"/>
              </w:rPr>
              <w:instrText xml:space="preserve">= 4 \* GB3</w:instrText>
            </w:r>
            <w:r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  <w:instrText xml:space="preserve"> </w:instrText>
            </w:r>
            <w:r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  <w:fldChar w:fldCharType="separate"/>
            </w:r>
            <w:r>
              <w:rPr>
                <w:rFonts w:hint="eastAsia" w:ascii="Arial" w:hAnsi="Arial" w:cs="Arial"/>
                <w:b/>
                <w:color w:val="333333"/>
                <w:szCs w:val="21"/>
                <w:shd w:val="clear" w:color="auto" w:fill="FFFFFF"/>
              </w:rPr>
              <w:t>④</w:t>
            </w:r>
            <w:r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Arial" w:hAnsi="Arial" w:cs="Arial"/>
                <w:b/>
                <w:color w:val="333333"/>
                <w:szCs w:val="21"/>
                <w:shd w:val="clear" w:color="auto" w:fill="FFFFFF"/>
              </w:rPr>
              <w:t>原子荧光分光光度计</w:t>
            </w:r>
          </w:p>
          <w:p>
            <w:pPr>
              <w:spacing w:line="360" w:lineRule="auto"/>
              <w:jc w:val="center"/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  <w:drawing>
                <wp:inline distT="0" distB="0" distL="0" distR="0">
                  <wp:extent cx="5947410" cy="4459605"/>
                  <wp:effectExtent l="0" t="0" r="15240" b="17145"/>
                  <wp:docPr id="217" name="图片 217" descr="C:\Users\ADMINI~1\AppData\Local\Temp\WeChat Files\846268240934909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 descr="C:\Users\ADMINI~1\AppData\Local\Temp\WeChat Files\846268240934909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67" cy="44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是利用硼氢化钾或硼氢化钠作为还原剂，将样品溶液中的待分析元素还原为挥发性共价气态氢化物(或原子蒸汽)，然后借助载气将其导入原子化器，在氩-氢火焰中原子化而形成基态原子。基态原子吸收光源的能量而变成激发态，激发态原子在去活化过程中将吸收的能量以荧光的形式释放出来，此荧光信号的强弱与样品中待测元素的含量成线性关系,因此通过测量荧光强度就可以确定样品中被测元素的含量。</w:t>
            </w: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根据荧光谱线的波长可以进行定性分析。在一定实验条件下，荧光强度与被测元素的浓度成正比。据此可以进行定量分析。</w:t>
            </w: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原子荧光光谱分析法具有设备简单、灵敏度高、光谱干扰少、工作曲线线性范围宽、可以进行多元素测定等优点。在地质、冶金、石油、生物医学、地球化学、材料和环境科学等各个领域内获得了广泛的应用。</w:t>
            </w: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</w:p>
          <w:p>
            <w:pPr>
              <w:spacing w:line="360" w:lineRule="auto"/>
              <w:ind w:firstLine="422" w:firstLineChars="200"/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</w:pP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begin"/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instrText xml:space="preserve">= 5 \* GB3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separate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⑤</w: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end"/>
            </w:r>
            <w:r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  <w:t>ICP-MS</w:t>
            </w:r>
            <w:r>
              <w:rPr>
                <w:rStyle w:val="21"/>
                <w:rFonts w:hint="eastAsia" w:ascii="Arial" w:hAnsi="Arial" w:cs="Arial"/>
                <w:b/>
                <w:color w:val="333333"/>
                <w:szCs w:val="21"/>
                <w:shd w:val="clear" w:color="auto" w:fill="FFFFFF"/>
              </w:rPr>
              <w:t>（</w:t>
            </w:r>
            <w:r>
              <w:rPr>
                <w:rFonts w:ascii="Arial" w:hAnsi="Arial" w:cs="Arial"/>
                <w:b/>
                <w:color w:val="333333"/>
                <w:szCs w:val="21"/>
                <w:shd w:val="clear" w:color="auto" w:fill="FFFFFF"/>
              </w:rPr>
              <w:t>电感耦合等离子体质谱</w:t>
            </w:r>
            <w:r>
              <w:rPr>
                <w:rFonts w:hint="eastAsia" w:ascii="Arial" w:hAnsi="Arial" w:cs="Arial"/>
                <w:b/>
                <w:color w:val="333333"/>
                <w:szCs w:val="21"/>
                <w:shd w:val="clear" w:color="auto" w:fill="FFFFFF"/>
              </w:rPr>
              <w:t>仪）</w:t>
            </w:r>
          </w:p>
          <w:p>
            <w:pPr>
              <w:spacing w:line="360" w:lineRule="auto"/>
              <w:jc w:val="center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szCs w:val="21"/>
              </w:rPr>
              <w:drawing>
                <wp:inline distT="0" distB="0" distL="0" distR="0">
                  <wp:extent cx="5330825" cy="3997325"/>
                  <wp:effectExtent l="0" t="0" r="3175" b="3175"/>
                  <wp:docPr id="220" name="图片 220" descr="C:\Users\ADMINI~1\AppData\Local\Temp\WeChat Files\54489681715992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20" descr="C:\Users\ADMINI~1\AppData\Local\Temp\WeChat Files\54489681715992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094" cy="401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hint="eastAsia" w:cs="方正仿宋_GBK" w:asciiTheme="minorEastAsia" w:hAnsiTheme="minorEastAsia" w:eastAsiaTheme="minorEastAsia"/>
                <w:szCs w:val="21"/>
              </w:rPr>
              <w:t>用于自来水、地表水、地下水、海水、污泥、土壤、废弃物中金属元素和部分非金属元素的定量分析</w:t>
            </w:r>
          </w:p>
          <w:p>
            <w:pPr>
              <w:spacing w:line="360" w:lineRule="auto"/>
              <w:jc w:val="center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begin"/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instrText xml:space="preserve">= 6 \* GB3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separate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⑥</w: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end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有机元素分析处理仪</w:t>
            </w:r>
            <w:r>
              <w:rPr>
                <w:rFonts w:cs="方正仿宋_GBK" w:asciiTheme="minorEastAsia" w:hAnsiTheme="minorEastAsia" w:eastAsiaTheme="minorEastAsia"/>
                <w:szCs w:val="21"/>
              </w:rPr>
              <w:drawing>
                <wp:inline distT="0" distB="0" distL="0" distR="0">
                  <wp:extent cx="5184140" cy="3251835"/>
                  <wp:effectExtent l="0" t="0" r="16510" b="5715"/>
                  <wp:docPr id="223" name="图片 223" descr="C:\Users\ADMINI~1\AppData\Local\Temp\WeChat Files\19559269629887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23" descr="C:\Users\ADMINI~1\AppData\Local\Temp\WeChat Files\19559269629887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650" cy="325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begin"/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instrText xml:space="preserve">= 7 \* GB3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separate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⑦</w: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end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固相萃取仪</w:t>
            </w:r>
          </w:p>
          <w:p>
            <w:pPr>
              <w:spacing w:line="360" w:lineRule="auto"/>
              <w:jc w:val="center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szCs w:val="21"/>
              </w:rPr>
              <w:drawing>
                <wp:inline distT="0" distB="0" distL="0" distR="0">
                  <wp:extent cx="3631565" cy="4006850"/>
                  <wp:effectExtent l="0" t="0" r="6985" b="12700"/>
                  <wp:docPr id="224" name="图片 224" descr="C:\Users\ADMINI~1\AppData\Local\Temp\WeChat Files\68388959083398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224" descr="C:\Users\ADMINI~1\AppData\Local\Temp\WeChat Files\68388959083398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328" cy="400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主要用于样品的分离，净化和富集。主要目的在于降低样品基质干扰，提高检测灵敏度。</w:t>
            </w: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begin"/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instrText xml:space="preserve">= 8 \* GB3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separate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⑧</w: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end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超声波清洗器</w:t>
            </w:r>
          </w:p>
          <w:p>
            <w:pPr>
              <w:spacing w:line="360" w:lineRule="auto"/>
              <w:jc w:val="center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szCs w:val="21"/>
              </w:rPr>
              <w:drawing>
                <wp:inline distT="0" distB="0" distL="0" distR="0">
                  <wp:extent cx="4095115" cy="3070860"/>
                  <wp:effectExtent l="0" t="0" r="635" b="15240"/>
                  <wp:docPr id="225" name="图片 225" descr="C:\Users\ADMINI~1\AppData\Local\Temp\WeChat Files\45429781577102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5" descr="C:\Users\ADMINI~1\AppData\Local\Temp\WeChat Files\45429781577102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37" cy="30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begin"/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instrText xml:space="preserve">= 9 \* GB3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separate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⑨</w: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end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标准消解器</w:t>
            </w:r>
          </w:p>
          <w:p>
            <w:pPr>
              <w:spacing w:line="360" w:lineRule="auto"/>
              <w:jc w:val="center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szCs w:val="21"/>
              </w:rPr>
              <w:drawing>
                <wp:inline distT="0" distB="0" distL="0" distR="0">
                  <wp:extent cx="4877435" cy="3412490"/>
                  <wp:effectExtent l="0" t="0" r="18415" b="16510"/>
                  <wp:docPr id="229" name="图片 229" descr="C:\Users\ADMINI~1\AppData\Local\Temp\WeChat Files\79052949739436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29" descr="C:\Users\ADMINI~1\AppData\Local\Temp\WeChat Files\79052949739436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759" cy="341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begin"/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instrText xml:space="preserve">= 10 \* GB3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instrText xml:space="preserve"> </w:instrTex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separate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⑩</w:t>
            </w: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fldChar w:fldCharType="end"/>
            </w: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离心机</w:t>
            </w:r>
          </w:p>
          <w:p>
            <w:pPr>
              <w:spacing w:line="360" w:lineRule="auto"/>
              <w:jc w:val="center"/>
              <w:rPr>
                <w:rFonts w:cs="方正仿宋_GBK" w:asciiTheme="minorEastAsia" w:hAnsiTheme="minorEastAsia" w:eastAsiaTheme="minorEastAsia"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szCs w:val="21"/>
              </w:rPr>
              <w:drawing>
                <wp:inline distT="0" distB="0" distL="0" distR="0">
                  <wp:extent cx="4862830" cy="4222750"/>
                  <wp:effectExtent l="0" t="0" r="13970" b="6350"/>
                  <wp:docPr id="230" name="图片 230" descr="C:\Users\ADMINI~1\AppData\Local\Temp\WeChat Files\213046800940949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 descr="C:\Users\ADMINI~1\AppData\Local\Temp\WeChat Files\213046800940949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5612" r="-67" b="11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676" cy="422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11.可见分光光度计</w:t>
            </w:r>
          </w:p>
          <w:p>
            <w:pPr>
              <w:spacing w:line="360" w:lineRule="auto"/>
              <w:jc w:val="center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drawing>
                <wp:inline distT="0" distB="0" distL="0" distR="0">
                  <wp:extent cx="5356860" cy="3792220"/>
                  <wp:effectExtent l="0" t="0" r="15240" b="17780"/>
                  <wp:docPr id="232" name="图片 232" descr="C:\Users\ADMINI~1\AppData\Local\Temp\WeChat Files\78928794941136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2" descr="C:\Users\ADMINI~1\AppData\Local\Temp\WeChat Files\78928794941136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1" r="2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860" cy="379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cs="方正仿宋_GBK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方正仿宋_GBK" w:asciiTheme="minorEastAsia" w:hAnsiTheme="minorEastAsia" w:eastAsiaTheme="minorEastAsia"/>
                <w:b/>
                <w:szCs w:val="21"/>
              </w:rPr>
              <w:t>12.测汞仪</w:t>
            </w:r>
          </w:p>
          <w:p>
            <w:pPr>
              <w:spacing w:line="360" w:lineRule="auto"/>
              <w:jc w:val="center"/>
              <w:rPr>
                <w:rFonts w:hint="eastAsia" w:eastAsia="仿宋_GB2312" w:cs="方正仿宋_GBK"/>
                <w:sz w:val="24"/>
              </w:rPr>
            </w:pPr>
            <w:r>
              <w:rPr>
                <w:rFonts w:cs="方正仿宋_GBK" w:asciiTheme="minorEastAsia" w:hAnsiTheme="minorEastAsia" w:eastAsiaTheme="minorEastAsia"/>
                <w:b/>
                <w:szCs w:val="21"/>
              </w:rPr>
              <w:drawing>
                <wp:inline distT="0" distB="0" distL="0" distR="0">
                  <wp:extent cx="5589905" cy="2985135"/>
                  <wp:effectExtent l="0" t="0" r="10795" b="5715"/>
                  <wp:docPr id="233" name="图片 233" descr="C:\Users\ADMINI~1\AppData\Local\Temp\WeChat Files\331912969617464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33" descr="C:\Users\ADMINI~1\AppData\Local\Temp\WeChat Files\331912969617464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171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600" w:lineRule="exact"/>
              <w:rPr>
                <w:rFonts w:hint="eastAsia"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hint="eastAsia"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  <w:r>
              <w:rPr>
                <w:rFonts w:hint="eastAsia" w:eastAsia="仿宋_GB2312" w:cs="方正仿宋_GBK"/>
                <w:sz w:val="24"/>
              </w:rPr>
              <w:t>（二）检测人员配备情况</w:t>
            </w:r>
          </w:p>
          <w:p>
            <w:pPr>
              <w:spacing w:line="600" w:lineRule="exact"/>
              <w:rPr>
                <w:rFonts w:eastAsia="仿宋_GB2312" w:cs="方正仿宋_GBK"/>
                <w:b/>
                <w:sz w:val="24"/>
              </w:rPr>
            </w:pPr>
            <w:r>
              <w:rPr>
                <w:rFonts w:hint="eastAsia" w:eastAsia="仿宋_GB2312" w:cs="方正仿宋_GBK"/>
                <w:b/>
                <w:sz w:val="24"/>
              </w:rPr>
              <w:t>（1）检测人员名单</w:t>
            </w:r>
          </w:p>
          <w:tbl>
            <w:tblPr>
              <w:tblStyle w:val="11"/>
              <w:tblW w:w="8077" w:type="dxa"/>
              <w:jc w:val="center"/>
              <w:tblBorders>
                <w:top w:val="thinThickSmallGap" w:color="auto" w:sz="12" w:space="0"/>
                <w:left w:val="single" w:color="auto" w:sz="4" w:space="0"/>
                <w:bottom w:val="thinThickSmallGap" w:color="auto" w:sz="12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6"/>
              <w:gridCol w:w="1453"/>
              <w:gridCol w:w="895"/>
              <w:gridCol w:w="2049"/>
              <w:gridCol w:w="1024"/>
              <w:gridCol w:w="1152"/>
              <w:gridCol w:w="838"/>
            </w:tblGrid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657" w:hRule="atLeast"/>
                <w:tblHeader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eastAsia="仿宋"/>
                      <w:b/>
                      <w:bCs/>
                      <w:szCs w:val="21"/>
                    </w:rPr>
                  </w:pPr>
                  <w:r>
                    <w:rPr>
                      <w:rFonts w:eastAsia="仿宋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eastAsia="仿宋"/>
                      <w:b/>
                      <w:bCs/>
                      <w:szCs w:val="21"/>
                    </w:rPr>
                  </w:pPr>
                  <w:r>
                    <w:rPr>
                      <w:rFonts w:eastAsia="仿宋"/>
                      <w:b/>
                      <w:bCs/>
                      <w:szCs w:val="21"/>
                    </w:rPr>
                    <w:t>姓 名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eastAsia="仿宋"/>
                      <w:b/>
                      <w:bCs/>
                      <w:szCs w:val="21"/>
                    </w:rPr>
                  </w:pPr>
                  <w:r>
                    <w:rPr>
                      <w:rFonts w:eastAsia="仿宋"/>
                      <w:b/>
                      <w:bCs/>
                      <w:szCs w:val="21"/>
                    </w:rPr>
                    <w:t>性别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eastAsia="仿宋"/>
                      <w:b/>
                      <w:bCs/>
                      <w:szCs w:val="21"/>
                    </w:rPr>
                  </w:pPr>
                  <w:r>
                    <w:rPr>
                      <w:rFonts w:eastAsia="仿宋"/>
                      <w:b/>
                      <w:bCs/>
                      <w:szCs w:val="21"/>
                    </w:rPr>
                    <w:t>专  业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eastAsia="仿宋"/>
                      <w:b/>
                      <w:bCs/>
                      <w:szCs w:val="21"/>
                    </w:rPr>
                  </w:pPr>
                  <w:r>
                    <w:rPr>
                      <w:rFonts w:eastAsia="仿宋"/>
                      <w:b/>
                      <w:bCs/>
                      <w:szCs w:val="21"/>
                    </w:rPr>
                    <w:t>工作</w:t>
                  </w:r>
                </w:p>
                <w:p>
                  <w:pPr>
                    <w:jc w:val="center"/>
                    <w:rPr>
                      <w:rFonts w:eastAsia="仿宋"/>
                      <w:b/>
                      <w:bCs/>
                      <w:szCs w:val="21"/>
                    </w:rPr>
                  </w:pPr>
                  <w:r>
                    <w:rPr>
                      <w:rFonts w:eastAsia="仿宋"/>
                      <w:b/>
                      <w:bCs/>
                      <w:szCs w:val="21"/>
                    </w:rPr>
                    <w:t>工龄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eastAsia="仿宋"/>
                      <w:b/>
                      <w:bCs/>
                      <w:szCs w:val="21"/>
                    </w:rPr>
                  </w:pPr>
                  <w:r>
                    <w:rPr>
                      <w:rFonts w:hint="eastAsia" w:eastAsia="仿宋"/>
                      <w:b/>
                      <w:bCs/>
                      <w:szCs w:val="21"/>
                    </w:rPr>
                    <w:t>学历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eastAsia="仿宋"/>
                      <w:b/>
                      <w:bCs/>
                      <w:szCs w:val="21"/>
                    </w:rPr>
                  </w:pPr>
                  <w:r>
                    <w:rPr>
                      <w:rFonts w:eastAsia="仿宋"/>
                      <w:b/>
                      <w:bCs/>
                      <w:szCs w:val="21"/>
                    </w:rPr>
                    <w:t>备注</w:t>
                  </w: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tblHeader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1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秦伍根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男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环境工程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9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博士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tblHeader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2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曾慧卿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女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环境工程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8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bCs/>
                      <w:szCs w:val="21"/>
                    </w:rPr>
                    <w:t>博士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bCs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3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张文涛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女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环境工程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11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博士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4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朱衷榜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男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环境工程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9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博士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5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陈春丽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女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环境工程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5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硕士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6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余</w:t>
                  </w: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峰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男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环境工程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7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本科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7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熊</w:t>
                  </w: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卿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男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环境工程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szCs w:val="21"/>
                    </w:rPr>
                    <w:t>5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硕士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8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高桂青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szCs w:val="21"/>
                    </w:rPr>
                    <w:t>女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水利水电工程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8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硕士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9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李 瑶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女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给排水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4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本科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8" w:hRule="atLeast"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10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刘青兰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女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土木工程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10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本科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</w:p>
              </w:tc>
            </w:tr>
            <w:tr>
              <w:tblPrEx>
                <w:tblBorders>
                  <w:top w:val="thinThickSmallGap" w:color="auto" w:sz="12" w:space="0"/>
                  <w:left w:val="single" w:color="auto" w:sz="4" w:space="0"/>
                  <w:bottom w:val="thinThickSmallGap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26" w:hRule="atLeast"/>
                <w:jc w:val="center"/>
              </w:trPr>
              <w:tc>
                <w:tcPr>
                  <w:tcW w:w="666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/>
                      <w:szCs w:val="21"/>
                    </w:rPr>
                    <w:t>11</w:t>
                  </w:r>
                </w:p>
              </w:tc>
              <w:tc>
                <w:tcPr>
                  <w:tcW w:w="1453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戴榕</w:t>
                  </w:r>
                </w:p>
              </w:tc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男</w:t>
                  </w:r>
                </w:p>
              </w:tc>
              <w:tc>
                <w:tcPr>
                  <w:tcW w:w="2049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土木工程</w:t>
                  </w:r>
                </w:p>
              </w:tc>
              <w:tc>
                <w:tcPr>
                  <w:tcW w:w="1024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</w:p>
              </w:tc>
              <w:tc>
                <w:tcPr>
                  <w:tcW w:w="1152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本科</w:t>
                  </w:r>
                </w:p>
              </w:tc>
              <w:tc>
                <w:tcPr>
                  <w:tcW w:w="838" w:type="dxa"/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 w:eastAsiaTheme="minorEastAsia"/>
                      <w:szCs w:val="21"/>
                    </w:rPr>
                  </w:pPr>
                </w:p>
              </w:tc>
            </w:tr>
          </w:tbl>
          <w:p>
            <w:pPr>
              <w:spacing w:line="600" w:lineRule="exact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（2）检测人员证书</w:t>
            </w:r>
          </w:p>
          <w:p>
            <w:pPr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ascii="仿宋" w:hAnsi="仿宋" w:eastAsia="仿宋"/>
                <w:b/>
                <w:sz w:val="24"/>
              </w:rPr>
              <w:drawing>
                <wp:inline distT="0" distB="0" distL="0" distR="0">
                  <wp:extent cx="5512435" cy="7882255"/>
                  <wp:effectExtent l="0" t="0" r="12065" b="4445"/>
                  <wp:docPr id="237" name="图片 237" descr="C:\Users\ADMINI~1\AppData\Local\Temp\360zip$Temp\360$6\201807122230_页面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 descr="C:\Users\ADMINI~1\AppData\Local\Temp\360zip$Temp\360$6\201807122230_页面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435" cy="788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b/>
                <w:sz w:val="24"/>
              </w:rPr>
              <w:drawing>
                <wp:inline distT="0" distB="0" distL="0" distR="0">
                  <wp:extent cx="5512435" cy="7882255"/>
                  <wp:effectExtent l="0" t="0" r="12065" b="4445"/>
                  <wp:docPr id="238" name="图片 238" descr="C:\Users\ADMINI~1\AppData\Local\Temp\360zip$Temp\360$7\201807122230_页面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 descr="C:\Users\ADMINI~1\AppData\Local\Temp\360zip$Temp\360$7\201807122230_页面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435" cy="788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left="0" w:leftChars="0" w:firstLine="0" w:firstLineChars="0"/>
              <w:rPr>
                <w:rFonts w:ascii="仿宋" w:hAnsi="仿宋" w:eastAsia="仿宋"/>
                <w:b/>
                <w:sz w:val="24"/>
              </w:rPr>
            </w:pPr>
            <w:r>
              <w:rPr>
                <w:rFonts w:ascii="仿宋" w:hAnsi="仿宋" w:eastAsia="仿宋"/>
                <w:b/>
                <w:sz w:val="24"/>
              </w:rPr>
              <w:drawing>
                <wp:inline distT="0" distB="0" distL="0" distR="0">
                  <wp:extent cx="5739130" cy="8204835"/>
                  <wp:effectExtent l="0" t="0" r="13970" b="5715"/>
                  <wp:docPr id="241" name="图片 241" descr="C:\Users\ADMINI~1\AppData\Local\Temp\360zip$Temp\360$9\201807122230_页面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 descr="C:\Users\ADMINI~1\AppData\Local\Temp\360zip$Temp\360$9\201807122230_页面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130" cy="820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b/>
                <w:sz w:val="24"/>
              </w:rPr>
              <w:drawing>
                <wp:inline distT="0" distB="0" distL="0" distR="0">
                  <wp:extent cx="5541645" cy="7924800"/>
                  <wp:effectExtent l="0" t="0" r="1905" b="0"/>
                  <wp:docPr id="242" name="图片 242" descr="C:\Users\ADMINI~1\AppData\Local\Temp\360zip$Temp\360$10\201807122230_页面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2" descr="C:\Users\ADMINI~1\AppData\Local\Temp\360zip$Temp\360$10\201807122230_页面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645" cy="79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b/>
                <w:sz w:val="24"/>
              </w:rPr>
              <w:drawing>
                <wp:inline distT="0" distB="0" distL="0" distR="0">
                  <wp:extent cx="5429250" cy="7763510"/>
                  <wp:effectExtent l="0" t="0" r="0" b="8890"/>
                  <wp:docPr id="243" name="图片 243" descr="C:\Users\ADMINI~1\AppData\Local\Temp\360zip$Temp\360$11\201807122230_页面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3" descr="C:\Users\ADMINI~1\AppData\Local\Temp\360zip$Temp\360$11\201807122230_页面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776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（三）能够自行检测的污染物项目</w:t>
            </w:r>
          </w:p>
          <w:tbl>
            <w:tblPr>
              <w:tblStyle w:val="12"/>
              <w:tblW w:w="8178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64"/>
              <w:gridCol w:w="1984"/>
              <w:gridCol w:w="423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96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Theme="majorHAnsi" w:hAnsiTheme="majorHAnsi"/>
                      <w:szCs w:val="21"/>
                    </w:rPr>
                  </w:pPr>
                  <w:r>
                    <w:rPr>
                      <w:rFonts w:asciiTheme="majorHAnsi" w:hAnsiTheme="majorHAnsi"/>
                      <w:szCs w:val="21"/>
                    </w:rPr>
                    <w:t>检测项目</w:t>
                  </w:r>
                </w:p>
              </w:tc>
              <w:tc>
                <w:tcPr>
                  <w:tcW w:w="19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Theme="majorHAnsi" w:hAnsiTheme="majorHAnsi"/>
                      <w:szCs w:val="21"/>
                    </w:rPr>
                  </w:pPr>
                  <w:r>
                    <w:rPr>
                      <w:rFonts w:asciiTheme="majorHAnsi" w:hAnsiTheme="majorHAnsi"/>
                      <w:szCs w:val="21"/>
                    </w:rPr>
                    <w:t>方法依据</w:t>
                  </w:r>
                </w:p>
              </w:tc>
              <w:tc>
                <w:tcPr>
                  <w:tcW w:w="423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Theme="majorHAnsi" w:hAnsiTheme="majorHAnsi"/>
                      <w:szCs w:val="21"/>
                    </w:rPr>
                  </w:pPr>
                  <w:r>
                    <w:rPr>
                      <w:rFonts w:asciiTheme="majorHAnsi" w:hAnsiTheme="majorHAnsi"/>
                      <w:szCs w:val="21"/>
                    </w:rPr>
                    <w:t>分析方法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96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COD</w:t>
                  </w:r>
                  <w:r>
                    <w:rPr>
                      <w:rFonts w:hint="eastAsia"/>
                      <w:szCs w:val="21"/>
                      <w:vertAlign w:val="subscript"/>
                    </w:rPr>
                    <w:t>cr</w:t>
                  </w:r>
                </w:p>
              </w:tc>
              <w:tc>
                <w:tcPr>
                  <w:tcW w:w="19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HJ 828-2017</w:t>
                  </w:r>
                </w:p>
              </w:tc>
              <w:tc>
                <w:tcPr>
                  <w:tcW w:w="423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水质 化学需氧量的测定 重铬酸盐法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96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  <w:vertAlign w:val="subscript"/>
                    </w:rPr>
                  </w:pPr>
                  <w:r>
                    <w:rPr>
                      <w:szCs w:val="21"/>
                    </w:rPr>
                    <w:t>BOD</w:t>
                  </w:r>
                  <w:r>
                    <w:rPr>
                      <w:szCs w:val="21"/>
                      <w:vertAlign w:val="subscript"/>
                    </w:rPr>
                    <w:t>5</w:t>
                  </w:r>
                </w:p>
              </w:tc>
              <w:tc>
                <w:tcPr>
                  <w:tcW w:w="19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HJ 505- 2009</w:t>
                  </w:r>
                </w:p>
              </w:tc>
              <w:tc>
                <w:tcPr>
                  <w:tcW w:w="423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水质 五日生化需氧量（BOD</w:t>
                  </w:r>
                  <w:r>
                    <w:rPr>
                      <w:szCs w:val="21"/>
                      <w:vertAlign w:val="subscript"/>
                    </w:rPr>
                    <w:t>5</w:t>
                  </w:r>
                  <w:r>
                    <w:rPr>
                      <w:szCs w:val="21"/>
                    </w:rPr>
                    <w:t xml:space="preserve">）的测定 </w:t>
                  </w:r>
                </w:p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稀释与接种法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74" w:hRule="atLeast"/>
                <w:jc w:val="center"/>
              </w:trPr>
              <w:tc>
                <w:tcPr>
                  <w:tcW w:w="196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SS</w:t>
                  </w:r>
                </w:p>
              </w:tc>
              <w:tc>
                <w:tcPr>
                  <w:tcW w:w="19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GB/T 11901-1989</w:t>
                  </w:r>
                </w:p>
              </w:tc>
              <w:tc>
                <w:tcPr>
                  <w:tcW w:w="423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水质 悬浮物的测定重量法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96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氨氮</w:t>
                  </w:r>
                </w:p>
              </w:tc>
              <w:tc>
                <w:tcPr>
                  <w:tcW w:w="19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HJ 535-2009</w:t>
                  </w:r>
                </w:p>
              </w:tc>
              <w:tc>
                <w:tcPr>
                  <w:tcW w:w="423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水质 氨氮的测定纳氏试剂比色法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96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总磷</w:t>
                  </w:r>
                </w:p>
              </w:tc>
              <w:tc>
                <w:tcPr>
                  <w:tcW w:w="19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GB 11893-1989</w:t>
                  </w:r>
                </w:p>
              </w:tc>
              <w:tc>
                <w:tcPr>
                  <w:tcW w:w="423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水质 总磷的测定</w:t>
                  </w:r>
                </w:p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钼酸铵分光光度法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96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pH</w:t>
                  </w:r>
                </w:p>
              </w:tc>
              <w:tc>
                <w:tcPr>
                  <w:tcW w:w="19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GB/T 6920-1986</w:t>
                  </w:r>
                </w:p>
              </w:tc>
              <w:tc>
                <w:tcPr>
                  <w:tcW w:w="423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水质 pH值的测定玻璃电极法</w:t>
                  </w:r>
                </w:p>
              </w:tc>
            </w:tr>
          </w:tbl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说明：应详细说明本单位已经具备的、与此次申请的类别相应的污染物检测能力，包括实验室、分析仪器、检测人员、能够自行检测的污染物项目等情况。</w:t>
            </w:r>
          </w:p>
        </w:tc>
      </w:tr>
    </w:tbl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4"/>
        <w:bidi w:val="0"/>
      </w:pPr>
      <w:bookmarkStart w:id="3" w:name="_Toc6302"/>
      <w:r>
        <w:rPr>
          <w:rFonts w:hint="eastAsia"/>
          <w:lang w:val="en-US" w:eastAsia="zh-CN"/>
        </w:rPr>
        <w:t>四、</w:t>
      </w:r>
      <w:r>
        <w:rPr>
          <w:rFonts w:hint="eastAsia"/>
        </w:rPr>
        <w:t>人员情况</w:t>
      </w:r>
      <w:bookmarkEnd w:id="3"/>
    </w:p>
    <w:p>
      <w:pPr>
        <w:spacing w:line="500" w:lineRule="exact"/>
        <w:jc w:val="left"/>
        <w:rPr>
          <w:rFonts w:eastAsia="黑体"/>
          <w:bCs/>
          <w:sz w:val="28"/>
        </w:rPr>
      </w:pPr>
      <w:r>
        <w:rPr>
          <w:rFonts w:hint="eastAsia" w:eastAsia="黑体"/>
          <w:bCs/>
          <w:sz w:val="28"/>
        </w:rPr>
        <w:t>（一）技术人员名单</w:t>
      </w:r>
    </w:p>
    <w:tbl>
      <w:tblPr>
        <w:tblStyle w:val="11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"/>
        <w:gridCol w:w="1170"/>
        <w:gridCol w:w="612"/>
        <w:gridCol w:w="581"/>
        <w:gridCol w:w="1244"/>
        <w:gridCol w:w="1312"/>
        <w:gridCol w:w="1327"/>
        <w:gridCol w:w="2696"/>
        <w:gridCol w:w="1962"/>
        <w:gridCol w:w="28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5000" w:type="pct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1、具有高级技术职称和从事本领域工作5年以上的中级技术职称的人员名单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号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姓名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性别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年龄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技术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职称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专业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发证时间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发证单位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身份证号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社保缴纳单位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邱俊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男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38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高级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环境工程</w:t>
            </w:r>
            <w:bookmarkStart w:id="4" w:name="_GoBack"/>
            <w:bookmarkEnd w:id="4"/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201</w:t>
            </w: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.12.</w:t>
            </w: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江西省职称工作办公室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4309031984090935X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胡华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37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中级工程师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环境工程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2017.03.30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南昌市职称改革领导小组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  <w:t>360121198512043510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180" w:firstLineChars="10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王玉杰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女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41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中级工程师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环境工程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2017.04.07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南昌市职称改革领导小组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  <w:t>150426198105193027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欧阳小军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38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中级工程师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道路与桥梁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2018.12.19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南昌市职称改革领导小组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  <w:t>362430198409162639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郭若彬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女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31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中级工程师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环境工程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2021.09.30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湖南省人力资源和社会保障厅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  <w:t>410602199108311023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邱进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中级工程师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机械设计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2020.12.31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zh-CN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zh-CN" w:eastAsia="zh-CN"/>
              </w:rPr>
              <w:t>湖南省人力资源和社会保障厅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  <w:t>430903199004132713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5"/>
                <w:szCs w:val="15"/>
                <w:lang w:eastAsia="zh-CN"/>
              </w:rPr>
              <w:t>湖南格瑞沃工工程技术有限公司（申请单位在本次申请中覆盖的下属子公司）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李木权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41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一级建造师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cs="Times New Roman"/>
                <w:kern w:val="0"/>
                <w:sz w:val="15"/>
                <w:szCs w:val="15"/>
                <w:lang w:eastAsia="zh-CN"/>
              </w:rPr>
              <w:t>通信与广电工程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1981.08.14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5"/>
                <w:szCs w:val="15"/>
                <w:lang w:eastAsia="zh-CN"/>
              </w:rPr>
            </w:pPr>
            <w:r>
              <w:rPr>
                <w:rFonts w:hint="eastAsia" w:cs="Times New Roman"/>
                <w:kern w:val="0"/>
                <w:sz w:val="15"/>
                <w:szCs w:val="15"/>
                <w:lang w:eastAsia="zh-CN"/>
              </w:rPr>
              <w:t>中华人民共和国住房和城乡建设部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  <w:t>440883198108142653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5000" w:type="pct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2、其他技术人员名单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号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姓名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性别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年龄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技术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职称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专业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发证时间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发证单位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身份证号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社保缴纳单位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彭忠涛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38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建筑工程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2022.04.27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江西省住房和城乡建设厅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362425198408032612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简叶红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女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市政公用工程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2022.06.29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江西省住房和城乡建设厅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36010419820124196X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朱建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市政公用工程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2022.05.18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江西省住房和城乡建设厅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370786199012295110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黄细勇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33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市政公用工程、机电工程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2022.06.09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江西省住房和城乡建设厅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362203198904206619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3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41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沈炜晨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20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44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工程师</w:t>
            </w:r>
          </w:p>
        </w:tc>
        <w:tc>
          <w:tcPr>
            <w:tcW w:w="4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市政公用工程</w:t>
            </w:r>
          </w:p>
        </w:tc>
        <w:tc>
          <w:tcPr>
            <w:tcW w:w="46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2022.06.29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eastAsia="zh-CN"/>
              </w:rPr>
              <w:t>江西省住房和城乡建设厅</w:t>
            </w:r>
          </w:p>
        </w:tc>
        <w:tc>
          <w:tcPr>
            <w:tcW w:w="69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360681199802169013</w:t>
            </w:r>
          </w:p>
        </w:tc>
        <w:tc>
          <w:tcPr>
            <w:tcW w:w="101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5000" w:type="pct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注：如技术人员较多本列表不够时，可自行加添加行列数。</w:t>
            </w:r>
          </w:p>
        </w:tc>
      </w:tr>
    </w:tbl>
    <w:p>
      <w:pPr>
        <w:spacing w:line="500" w:lineRule="exact"/>
        <w:jc w:val="left"/>
        <w:rPr>
          <w:rFonts w:eastAsia="黑体"/>
          <w:bCs/>
          <w:sz w:val="28"/>
        </w:rPr>
      </w:pPr>
      <w:r>
        <w:rPr>
          <w:rFonts w:hint="eastAsia" w:eastAsia="黑体"/>
          <w:bCs/>
          <w:sz w:val="28"/>
        </w:rPr>
        <w:t>（二）取得环境污染治理设施运行人员考试合格证书的人员名单</w:t>
      </w:r>
    </w:p>
    <w:tbl>
      <w:tblPr>
        <w:tblStyle w:val="11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1728"/>
        <w:gridCol w:w="714"/>
        <w:gridCol w:w="850"/>
        <w:gridCol w:w="2218"/>
        <w:gridCol w:w="2255"/>
        <w:gridCol w:w="2150"/>
        <w:gridCol w:w="3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序号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姓名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性别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年龄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考试合格证书编号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考试工种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身份证号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社保缴纳单位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王玉杰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女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41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WFS-2</w:t>
            </w: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02002414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zh-CN"/>
              </w:rPr>
              <w:t>150426198105193027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2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刘武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WFS-2</w:t>
            </w: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02102308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43090319871206303X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3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罗槽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27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WFS-20</w:t>
            </w: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2102310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360124199205294233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4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邱再华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43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WFS-20</w:t>
            </w: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2102307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430903197612193019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5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蔡</w:t>
            </w: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智</w:t>
            </w:r>
            <w:r>
              <w:rPr>
                <w:rFonts w:hint="eastAsia" w:eastAsia="黑体" w:cs="宋体"/>
                <w:kern w:val="0"/>
                <w:sz w:val="18"/>
                <w:szCs w:val="18"/>
              </w:rPr>
              <w:t>昌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38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WFS-20</w:t>
            </w: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2102306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430903198112242712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6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陈昌会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ZDJX(WFS)-202202082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自动监控（污废水）运行工）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3662204199001122116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7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黄铭辉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ZDJX(WFS)-202202083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自动监控（污废水）运行工）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default" w:eastAsia="黑体" w:cs="宋体"/>
                <w:kern w:val="0"/>
                <w:sz w:val="18"/>
                <w:szCs w:val="18"/>
                <w:lang w:val="zh-CN"/>
              </w:rPr>
              <w:t>362523199701104010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8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项名智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WFS-202002415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eastAsia="黑体" w:cs="宋体"/>
                <w:kern w:val="0"/>
                <w:sz w:val="18"/>
                <w:szCs w:val="18"/>
                <w:lang w:val="zh-CN"/>
              </w:rPr>
              <w:t>3604231</w:t>
            </w: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99002012611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黑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9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康梦辉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WFS-202002413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eastAsia="黑体" w:cs="宋体"/>
                <w:kern w:val="0"/>
                <w:sz w:val="18"/>
                <w:szCs w:val="18"/>
                <w:lang w:val="zh-CN"/>
              </w:rPr>
              <w:t>36252619940329</w:t>
            </w: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1013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戴榕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WFS-202102305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default" w:eastAsia="黑体" w:cs="宋体"/>
                <w:kern w:val="0"/>
                <w:sz w:val="18"/>
                <w:szCs w:val="18"/>
                <w:lang w:val="zh-CN"/>
              </w:rPr>
              <w:t>360122199407011235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eastAsia="黑体" w:cs="宋体"/>
                <w:kern w:val="0"/>
                <w:sz w:val="18"/>
                <w:szCs w:val="18"/>
                <w:lang w:val="zh-CN" w:eastAsia="zh-CN"/>
              </w:rPr>
              <w:t>邹悦辰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eastAsia="zh-CN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WFS-202002416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zh-CN"/>
              </w:rPr>
            </w:pPr>
            <w:r>
              <w:rPr>
                <w:rFonts w:hint="default" w:eastAsia="黑体" w:cs="宋体"/>
                <w:kern w:val="0"/>
                <w:sz w:val="18"/>
                <w:szCs w:val="18"/>
                <w:lang w:val="zh-CN"/>
              </w:rPr>
              <w:t>360781199812250013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6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zh-CN" w:eastAsia="zh-CN"/>
              </w:rPr>
            </w:pPr>
            <w:r>
              <w:rPr>
                <w:rFonts w:hint="default" w:eastAsia="黑体" w:cs="宋体"/>
                <w:kern w:val="0"/>
                <w:sz w:val="18"/>
                <w:szCs w:val="18"/>
                <w:lang w:val="zh-CN"/>
              </w:rPr>
              <w:t>刘朋祥</w:t>
            </w:r>
          </w:p>
        </w:tc>
        <w:tc>
          <w:tcPr>
            <w:tcW w:w="25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val="zh-CN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zh-CN" w:eastAsia="zh-CN"/>
              </w:rPr>
              <w:t>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7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en-US" w:eastAsia="zh-CN"/>
              </w:rPr>
              <w:t>WFS-202102309</w:t>
            </w:r>
          </w:p>
        </w:tc>
        <w:tc>
          <w:tcPr>
            <w:tcW w:w="79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val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zh-CN"/>
              </w:rPr>
              <w:t>污废水处理工</w:t>
            </w:r>
          </w:p>
        </w:tc>
        <w:tc>
          <w:tcPr>
            <w:tcW w:w="75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eastAsia="黑体" w:cs="宋体"/>
                <w:kern w:val="0"/>
                <w:sz w:val="18"/>
                <w:szCs w:val="18"/>
                <w:lang w:val="zh-CN"/>
              </w:rPr>
            </w:pPr>
            <w:r>
              <w:rPr>
                <w:rFonts w:hint="default" w:eastAsia="黑体" w:cs="宋体"/>
                <w:kern w:val="0"/>
                <w:sz w:val="18"/>
                <w:szCs w:val="18"/>
                <w:lang w:val="zh-CN"/>
              </w:rPr>
              <w:t>430903199207192716</w:t>
            </w:r>
          </w:p>
        </w:tc>
        <w:tc>
          <w:tcPr>
            <w:tcW w:w="123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黑体" w:cs="宋体"/>
                <w:kern w:val="0"/>
                <w:sz w:val="18"/>
                <w:szCs w:val="18"/>
                <w:lang w:val="zh-CN"/>
              </w:rPr>
            </w:pPr>
            <w:r>
              <w:rPr>
                <w:rFonts w:hint="eastAsia" w:eastAsia="黑体" w:cs="宋体"/>
                <w:kern w:val="0"/>
                <w:sz w:val="18"/>
                <w:szCs w:val="18"/>
                <w:lang w:val="zh-CN"/>
              </w:rPr>
              <w:t>江西益洁环保技术有限公司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5000" w:type="pct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firstLine="0" w:firstLineChars="0"/>
              <w:jc w:val="center"/>
              <w:textAlignment w:val="auto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仿宋"/>
                <w:sz w:val="24"/>
              </w:rPr>
              <w:t>注：如运行人员较多本列表不够时，可自行加添加行列数。</w:t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kYmE1YTNkMDdiMzFlYWFmMmRlYTlmNjk4MjA2YzEifQ=="/>
  </w:docVars>
  <w:rsids>
    <w:rsidRoot w:val="145A4612"/>
    <w:rsid w:val="04D90A29"/>
    <w:rsid w:val="06D750F3"/>
    <w:rsid w:val="07E70EA8"/>
    <w:rsid w:val="08AE3039"/>
    <w:rsid w:val="0977584D"/>
    <w:rsid w:val="0B217DAD"/>
    <w:rsid w:val="0B22701E"/>
    <w:rsid w:val="0E1C2813"/>
    <w:rsid w:val="0F1417BE"/>
    <w:rsid w:val="0F4F433B"/>
    <w:rsid w:val="11A961D4"/>
    <w:rsid w:val="145A4612"/>
    <w:rsid w:val="162568E6"/>
    <w:rsid w:val="168154D8"/>
    <w:rsid w:val="1D0C105D"/>
    <w:rsid w:val="1E26414B"/>
    <w:rsid w:val="1FCE07D3"/>
    <w:rsid w:val="24467AB9"/>
    <w:rsid w:val="24752633"/>
    <w:rsid w:val="2A9F3C2C"/>
    <w:rsid w:val="2B073297"/>
    <w:rsid w:val="2B7732A2"/>
    <w:rsid w:val="2D6C225F"/>
    <w:rsid w:val="2D724F99"/>
    <w:rsid w:val="3172760E"/>
    <w:rsid w:val="3191570C"/>
    <w:rsid w:val="360D7C5C"/>
    <w:rsid w:val="3716301E"/>
    <w:rsid w:val="388236F7"/>
    <w:rsid w:val="38EE4255"/>
    <w:rsid w:val="394E2AA7"/>
    <w:rsid w:val="3C0C7CF7"/>
    <w:rsid w:val="3E7E15CB"/>
    <w:rsid w:val="42E24273"/>
    <w:rsid w:val="43F210C8"/>
    <w:rsid w:val="4578198B"/>
    <w:rsid w:val="49EA5893"/>
    <w:rsid w:val="546F7099"/>
    <w:rsid w:val="56A23E79"/>
    <w:rsid w:val="57226EA7"/>
    <w:rsid w:val="58871249"/>
    <w:rsid w:val="5A682831"/>
    <w:rsid w:val="5BCE4727"/>
    <w:rsid w:val="5BFE07E8"/>
    <w:rsid w:val="6020759A"/>
    <w:rsid w:val="612510E4"/>
    <w:rsid w:val="621E3110"/>
    <w:rsid w:val="635C76D4"/>
    <w:rsid w:val="673F4C47"/>
    <w:rsid w:val="69D81B64"/>
    <w:rsid w:val="6A8A00F1"/>
    <w:rsid w:val="6E6C6990"/>
    <w:rsid w:val="732308BD"/>
    <w:rsid w:val="738111DB"/>
    <w:rsid w:val="75016552"/>
    <w:rsid w:val="770E7E66"/>
    <w:rsid w:val="776D5D21"/>
    <w:rsid w:val="79C527C4"/>
    <w:rsid w:val="7A2B21F4"/>
    <w:rsid w:val="7A7E526B"/>
    <w:rsid w:val="7ABE3088"/>
    <w:rsid w:val="7C541C44"/>
    <w:rsid w:val="7CB40D78"/>
    <w:rsid w:val="7F10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5"/>
    <w:qFormat/>
    <w:uiPriority w:val="0"/>
    <w:pPr>
      <w:keepNext/>
      <w:keepLines/>
      <w:spacing w:beforeLines="0" w:beforeAutospacing="0" w:afterLines="0" w:afterAutospacing="0" w:line="360" w:lineRule="auto"/>
      <w:ind w:firstLine="643" w:firstLineChars="200"/>
      <w:jc w:val="left"/>
      <w:outlineLvl w:val="0"/>
    </w:pPr>
    <w:rPr>
      <w:rFonts w:ascii="Times New Roman" w:hAnsi="Times New Roman" w:eastAsia="宋体" w:cs="宋体"/>
      <w:b/>
      <w:kern w:val="44"/>
      <w:sz w:val="32"/>
      <w:szCs w:val="32"/>
      <w:lang w:eastAsia="en-US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spacing w:line="360" w:lineRule="auto"/>
      <w:ind w:firstLine="643" w:firstLineChars="200"/>
      <w:jc w:val="left"/>
      <w:outlineLvl w:val="1"/>
    </w:pPr>
    <w:rPr>
      <w:rFonts w:ascii="Times New Roman" w:hAnsi="Times New Roman" w:eastAsia="黑体" w:cs="Times New Roman"/>
      <w:sz w:val="30"/>
      <w:szCs w:val="24"/>
      <w:lang w:eastAsia="en-US"/>
    </w:rPr>
  </w:style>
  <w:style w:type="paragraph" w:styleId="5">
    <w:name w:val="heading 3"/>
    <w:basedOn w:val="1"/>
    <w:next w:val="6"/>
    <w:link w:val="14"/>
    <w:semiHidden/>
    <w:unhideWhenUsed/>
    <w:qFormat/>
    <w:uiPriority w:val="0"/>
    <w:pPr>
      <w:keepNext/>
      <w:keepLines/>
      <w:tabs>
        <w:tab w:val="left" w:pos="0"/>
      </w:tabs>
      <w:spacing w:line="360" w:lineRule="auto"/>
      <w:jc w:val="left"/>
      <w:outlineLvl w:val="2"/>
    </w:pPr>
    <w:rPr>
      <w:b/>
      <w:bCs/>
      <w:szCs w:val="32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jc w:val="left"/>
      <w:outlineLvl w:val="3"/>
    </w:pPr>
    <w:rPr>
      <w:rFonts w:ascii="Arial" w:hAnsi="Arial" w:eastAsia="宋体"/>
      <w:b/>
      <w:bCs/>
      <w:sz w:val="24"/>
      <w:szCs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spacing w:before="50" w:beforeLines="50" w:beforeAutospacing="0" w:after="50" w:afterLines="50" w:afterAutospacing="0" w:line="240" w:lineRule="auto"/>
      <w:ind w:firstLine="0" w:firstLineChars="0"/>
      <w:jc w:val="center"/>
      <w:outlineLvl w:val="4"/>
    </w:pPr>
    <w:rPr>
      <w:rFonts w:hint="eastAsia" w:ascii="宋体" w:hAnsi="宋体" w:eastAsia="宋体" w:cs="Times New Roman"/>
      <w:b/>
      <w:kern w:val="0"/>
      <w:sz w:val="21"/>
      <w:szCs w:val="20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Theme="minorAscii" w:hAnsiTheme="minorAscii" w:eastAsiaTheme="minorEastAsia"/>
      <w:sz w:val="24"/>
    </w:r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paragraph" w:styleId="9">
    <w:name w:val="Body Text Indent 2"/>
    <w:basedOn w:val="1"/>
    <w:qFormat/>
    <w:uiPriority w:val="0"/>
    <w:pPr>
      <w:spacing w:before="50" w:beforeLines="50" w:after="50" w:afterLines="50" w:afterAutospacing="0" w:line="360" w:lineRule="auto"/>
      <w:ind w:left="420" w:leftChars="200" w:firstLine="480" w:firstLineChars="200"/>
      <w:jc w:val="left"/>
    </w:pPr>
    <w:rPr>
      <w:rFonts w:ascii="Times New Roman" w:hAnsi="Times New Roman" w:eastAsia="宋体" w:cs="Times New Roman"/>
      <w:sz w:val="24"/>
    </w:rPr>
  </w:style>
  <w:style w:type="paragraph" w:styleId="10">
    <w:name w:val="Body Text First Indent"/>
    <w:basedOn w:val="2"/>
    <w:link w:val="20"/>
    <w:qFormat/>
    <w:uiPriority w:val="0"/>
    <w:pPr>
      <w:spacing w:after="80" w:line="240" w:lineRule="auto"/>
      <w:ind w:firstLine="0" w:firstLineChars="0"/>
      <w:jc w:val="left"/>
    </w:pPr>
    <w:rPr>
      <w:rFonts w:ascii="Times New Roman" w:hAnsi="Times New Roman" w:eastAsia="宋体" w:cstheme="minorBidi"/>
      <w:sz w:val="24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标题 3 Char"/>
    <w:link w:val="5"/>
    <w:qFormat/>
    <w:uiPriority w:val="0"/>
    <w:rPr>
      <w:rFonts w:ascii="Times New Roman" w:hAnsi="Times New Roman" w:eastAsia="宋体"/>
      <w:b/>
      <w:bCs/>
      <w:szCs w:val="32"/>
    </w:rPr>
  </w:style>
  <w:style w:type="character" w:customStyle="1" w:styleId="15">
    <w:name w:val="标题 1 Char"/>
    <w:basedOn w:val="13"/>
    <w:link w:val="3"/>
    <w:qFormat/>
    <w:uiPriority w:val="0"/>
    <w:rPr>
      <w:rFonts w:ascii="Times New Roman" w:hAnsi="Times New Roman" w:eastAsia="宋体" w:cs="宋体"/>
      <w:b/>
      <w:bCs/>
      <w:kern w:val="44"/>
      <w:sz w:val="32"/>
      <w:szCs w:val="44"/>
      <w:lang w:eastAsia="en-US"/>
    </w:rPr>
  </w:style>
  <w:style w:type="paragraph" w:customStyle="1" w:styleId="16">
    <w:name w:val="表头"/>
    <w:basedOn w:val="1"/>
    <w:qFormat/>
    <w:uiPriority w:val="0"/>
    <w:pPr>
      <w:spacing w:line="240" w:lineRule="auto"/>
      <w:ind w:firstLine="0" w:firstLineChars="0"/>
      <w:jc w:val="left"/>
    </w:pPr>
    <w:rPr>
      <w:rFonts w:eastAsia="宋体"/>
      <w:bCs/>
      <w:sz w:val="24"/>
    </w:rPr>
  </w:style>
  <w:style w:type="paragraph" w:customStyle="1" w:styleId="17">
    <w:name w:val="表格下边备注"/>
    <w:basedOn w:val="1"/>
    <w:qFormat/>
    <w:uiPriority w:val="0"/>
    <w:pPr>
      <w:ind w:firstLine="0" w:firstLineChars="0"/>
      <w:jc w:val="left"/>
    </w:pPr>
    <w:rPr>
      <w:rFonts w:hAnsi="Times New Roman"/>
      <w:bCs/>
      <w:sz w:val="21"/>
    </w:rPr>
  </w:style>
  <w:style w:type="paragraph" w:customStyle="1" w:styleId="18">
    <w:name w:val="图片标号"/>
    <w:basedOn w:val="1"/>
    <w:qFormat/>
    <w:uiPriority w:val="0"/>
    <w:pPr>
      <w:snapToGrid w:val="0"/>
      <w:spacing w:before="50" w:beforeLines="50" w:after="50" w:afterLines="50" w:line="240" w:lineRule="auto"/>
      <w:ind w:firstLine="0" w:firstLineChars="0"/>
      <w:jc w:val="center"/>
    </w:pPr>
    <w:rPr>
      <w:rFonts w:hint="eastAsia" w:ascii="Times New Roman" w:hAnsi="Times New Roman" w:eastAsia="宋体" w:cs="Times New Roman"/>
      <w:b/>
      <w:bCs/>
      <w:szCs w:val="24"/>
    </w:rPr>
  </w:style>
  <w:style w:type="paragraph" w:customStyle="1" w:styleId="19">
    <w:name w:val="标-图片标号"/>
    <w:basedOn w:val="1"/>
    <w:qFormat/>
    <w:uiPriority w:val="0"/>
    <w:pPr>
      <w:snapToGrid w:val="0"/>
      <w:spacing w:before="50" w:beforeLines="50" w:after="50" w:afterLines="50" w:line="240" w:lineRule="auto"/>
      <w:ind w:firstLine="0" w:firstLineChars="0"/>
      <w:jc w:val="center"/>
    </w:pPr>
    <w:rPr>
      <w:rFonts w:hint="eastAsia" w:ascii="Times New Roman" w:hAnsi="Times New Roman" w:eastAsia="宋体" w:cs="Times New Roman"/>
      <w:b/>
      <w:bCs/>
      <w:szCs w:val="24"/>
    </w:rPr>
  </w:style>
  <w:style w:type="character" w:customStyle="1" w:styleId="20">
    <w:name w:val="正文首行缩进 Char"/>
    <w:link w:val="10"/>
    <w:qFormat/>
    <w:uiPriority w:val="0"/>
    <w:rPr>
      <w:rFonts w:ascii="Times New Roman" w:hAnsi="Times New Roman" w:eastAsia="宋体" w:cstheme="minorBidi"/>
      <w:sz w:val="24"/>
    </w:rPr>
  </w:style>
  <w:style w:type="character" w:customStyle="1" w:styleId="21">
    <w:name w:val="apple-converted-space"/>
    <w:basedOn w:val="1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4761</Words>
  <Characters>5923</Characters>
  <Lines>0</Lines>
  <Paragraphs>0</Paragraphs>
  <TotalTime>8</TotalTime>
  <ScaleCrop>false</ScaleCrop>
  <LinksUpToDate>false</LinksUpToDate>
  <CharactersWithSpaces>6151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2022-09-19T05:45:00Z</dcterms:created>
  <dc:creator>1653213</dc:creator>
  <cp:lastModifiedBy>DELL</cp:lastModifiedBy>
  <dcterms:modified xsi:type="dcterms:W3CDTF">2022-09-21T02:12:48Z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3EC0D28BC1354F38946F7A398CA205CA</vt:lpwstr>
  </property>
</Properties>
</file>