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沂州科技有限公司环境信息公开</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沂州科技有限公司是山东沂州集团投资兴建的大型煤焦化工企业，位于邳州市经济开发区，占地面积1100余亩。年产焦炭260万吨，甲醇30万吨，液氨10万吨，焦油10万吨，粗苯3.5万吨，硫铵3.5万吨。根据相关环保要求，对公司环保信息及污染防治设施建设运行情况进行公示。</w:t>
      </w:r>
    </w:p>
    <w:p>
      <w:pPr>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沂州科技有限公司环境信息公开表</w:t>
      </w:r>
    </w:p>
    <w:tbl>
      <w:tblPr>
        <w:tblStyle w:val="3"/>
        <w:tblW w:w="10800" w:type="dxa"/>
        <w:tblInd w:w="-1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757"/>
        <w:gridCol w:w="2131"/>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单位名称</w:t>
            </w:r>
          </w:p>
        </w:tc>
        <w:tc>
          <w:tcPr>
            <w:tcW w:w="37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沂州科技有限公司</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组织机构代码</w:t>
            </w:r>
          </w:p>
        </w:tc>
        <w:tc>
          <w:tcPr>
            <w:tcW w:w="31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91320382674891727L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单位地址</w:t>
            </w:r>
          </w:p>
        </w:tc>
        <w:tc>
          <w:tcPr>
            <w:tcW w:w="37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邳州市戴圩镇官戴路南侧</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地理位置</w:t>
            </w:r>
          </w:p>
        </w:tc>
        <w:tc>
          <w:tcPr>
            <w:tcW w:w="3195"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北纬34</w:t>
            </w:r>
            <w:r>
              <w:rPr>
                <w:rFonts w:hint="eastAsia" w:ascii="仿宋" w:hAnsi="仿宋" w:eastAsia="仿宋" w:cs="仿宋"/>
                <w:sz w:val="24"/>
                <w:szCs w:val="24"/>
                <w:vertAlign w:val="superscript"/>
                <w:lang w:val="en-US" w:eastAsia="zh-CN"/>
              </w:rPr>
              <w:t>o</w:t>
            </w:r>
            <w:r>
              <w:rPr>
                <w:rFonts w:hint="eastAsia" w:ascii="仿宋" w:hAnsi="仿宋" w:eastAsia="仿宋" w:cs="仿宋"/>
                <w:sz w:val="24"/>
                <w:szCs w:val="24"/>
                <w:vertAlign w:val="baseline"/>
                <w:lang w:val="en-US" w:eastAsia="zh-CN"/>
              </w:rPr>
              <w:t>23</w:t>
            </w:r>
            <w:r>
              <w:rPr>
                <w:rFonts w:hint="eastAsia" w:ascii="仿宋" w:hAnsi="仿宋" w:eastAsia="仿宋" w:cs="仿宋"/>
                <w:sz w:val="24"/>
                <w:szCs w:val="24"/>
                <w:vertAlign w:val="superscript"/>
                <w:lang w:val="en-US" w:eastAsia="zh-CN"/>
              </w:rPr>
              <w:t>，</w:t>
            </w:r>
            <w:r>
              <w:rPr>
                <w:rFonts w:hint="eastAsia" w:ascii="仿宋" w:hAnsi="仿宋" w:eastAsia="仿宋" w:cs="仿宋"/>
                <w:sz w:val="24"/>
                <w:szCs w:val="24"/>
                <w:vertAlign w:val="baseline"/>
                <w:lang w:val="en-US" w:eastAsia="zh-CN"/>
              </w:rPr>
              <w:t>东经117</w:t>
            </w:r>
            <w:r>
              <w:rPr>
                <w:rFonts w:hint="eastAsia" w:ascii="仿宋" w:hAnsi="仿宋" w:eastAsia="仿宋" w:cs="仿宋"/>
                <w:sz w:val="24"/>
                <w:szCs w:val="24"/>
                <w:vertAlign w:val="superscript"/>
                <w:lang w:val="en-US" w:eastAsia="zh-CN"/>
              </w:rPr>
              <w:t>o</w:t>
            </w:r>
            <w:r>
              <w:rPr>
                <w:rFonts w:hint="eastAsia" w:ascii="仿宋" w:hAnsi="仿宋" w:eastAsia="仿宋" w:cs="仿宋"/>
                <w:sz w:val="24"/>
                <w:szCs w:val="24"/>
                <w:vertAlign w:val="baseline"/>
                <w:lang w:val="en-US" w:eastAsia="zh-CN"/>
              </w:rPr>
              <w:t>57</w:t>
            </w:r>
            <w:r>
              <w:rPr>
                <w:rFonts w:hint="eastAsia" w:ascii="仿宋" w:hAnsi="仿宋" w:eastAsia="仿宋" w:cs="仿宋"/>
                <w:sz w:val="24"/>
                <w:szCs w:val="24"/>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法定代表人</w:t>
            </w:r>
          </w:p>
        </w:tc>
        <w:tc>
          <w:tcPr>
            <w:tcW w:w="3757"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颜臻</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联系电话</w:t>
            </w:r>
          </w:p>
        </w:tc>
        <w:tc>
          <w:tcPr>
            <w:tcW w:w="3195"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18105222599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环保负责人</w:t>
            </w:r>
          </w:p>
        </w:tc>
        <w:tc>
          <w:tcPr>
            <w:tcW w:w="3757"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袁子清</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联系电话</w:t>
            </w:r>
          </w:p>
        </w:tc>
        <w:tc>
          <w:tcPr>
            <w:tcW w:w="3195"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13305211877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行业类别</w:t>
            </w:r>
          </w:p>
        </w:tc>
        <w:tc>
          <w:tcPr>
            <w:tcW w:w="37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煤焦化工</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邮政编码</w:t>
            </w:r>
          </w:p>
        </w:tc>
        <w:tc>
          <w:tcPr>
            <w:tcW w:w="31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生产周期</w:t>
            </w:r>
          </w:p>
        </w:tc>
        <w:tc>
          <w:tcPr>
            <w:tcW w:w="37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365天</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电子邮箱</w:t>
            </w:r>
          </w:p>
        </w:tc>
        <w:tc>
          <w:tcPr>
            <w:tcW w:w="3195" w:type="dxa"/>
          </w:tcPr>
          <w:p>
            <w:pPr>
              <w:jc w:val="left"/>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单位简介</w:t>
            </w:r>
          </w:p>
        </w:tc>
        <w:tc>
          <w:tcPr>
            <w:tcW w:w="37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沂州科技有限公司是山东沂州集团投资兴建的大型煤焦化工企业，位于邳州市经济开发区，占地面积1100余亩。年产焦炭260万吨，甲醇30万吨，液氨10万吨，焦油10万吨，粗苯3.5万吨，硫铵3.5万吨。</w:t>
            </w:r>
          </w:p>
        </w:tc>
        <w:tc>
          <w:tcPr>
            <w:tcW w:w="2131"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污染管理级别</w:t>
            </w:r>
          </w:p>
        </w:tc>
        <w:tc>
          <w:tcPr>
            <w:tcW w:w="31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市控</w:t>
            </w:r>
          </w:p>
        </w:tc>
      </w:tr>
    </w:tbl>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p>
    <w:p>
      <w:pPr>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废水排放信息</w:t>
      </w:r>
    </w:p>
    <w:tbl>
      <w:tblPr>
        <w:tblStyle w:val="3"/>
        <w:tblW w:w="10800" w:type="dxa"/>
        <w:tblInd w:w="-1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345"/>
        <w:gridCol w:w="289"/>
        <w:gridCol w:w="326"/>
        <w:gridCol w:w="137"/>
        <w:gridCol w:w="628"/>
        <w:gridCol w:w="92"/>
        <w:gridCol w:w="388"/>
        <w:gridCol w:w="129"/>
        <w:gridCol w:w="733"/>
        <w:gridCol w:w="518"/>
        <w:gridCol w:w="660"/>
        <w:gridCol w:w="273"/>
        <w:gridCol w:w="387"/>
        <w:gridCol w:w="630"/>
        <w:gridCol w:w="690"/>
        <w:gridCol w:w="675"/>
        <w:gridCol w:w="870"/>
        <w:gridCol w:w="70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废水排放口位置</w:t>
            </w:r>
          </w:p>
        </w:tc>
        <w:tc>
          <w:tcPr>
            <w:tcW w:w="2334" w:type="dxa"/>
            <w:gridSpan w:val="8"/>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厂区南雨水排放口</w:t>
            </w:r>
          </w:p>
        </w:tc>
        <w:tc>
          <w:tcPr>
            <w:tcW w:w="2184" w:type="dxa"/>
            <w:gridSpan w:val="4"/>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4832" w:type="dxa"/>
            <w:gridSpan w:val="7"/>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水污染物种类</w:t>
            </w:r>
          </w:p>
        </w:tc>
        <w:tc>
          <w:tcPr>
            <w:tcW w:w="2334" w:type="dxa"/>
            <w:gridSpan w:val="8"/>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COD和石油类物质</w:t>
            </w:r>
          </w:p>
        </w:tc>
        <w:tc>
          <w:tcPr>
            <w:tcW w:w="2184" w:type="dxa"/>
            <w:gridSpan w:val="4"/>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特征水污染物</w:t>
            </w:r>
          </w:p>
        </w:tc>
        <w:tc>
          <w:tcPr>
            <w:tcW w:w="4832" w:type="dxa"/>
            <w:gridSpan w:val="7"/>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COD、氨氮、氰化物、挥发分等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排放口数量</w:t>
            </w:r>
          </w:p>
        </w:tc>
        <w:tc>
          <w:tcPr>
            <w:tcW w:w="2334" w:type="dxa"/>
            <w:gridSpan w:val="8"/>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184" w:type="dxa"/>
            <w:gridSpan w:val="4"/>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超标排放情况</w:t>
            </w:r>
          </w:p>
        </w:tc>
        <w:tc>
          <w:tcPr>
            <w:tcW w:w="4832" w:type="dxa"/>
            <w:gridSpan w:val="7"/>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334" w:type="dxa"/>
            <w:gridSpan w:val="8"/>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c>
          <w:tcPr>
            <w:tcW w:w="2184" w:type="dxa"/>
            <w:gridSpan w:val="4"/>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超总量排放情况</w:t>
            </w:r>
          </w:p>
        </w:tc>
        <w:tc>
          <w:tcPr>
            <w:tcW w:w="4832" w:type="dxa"/>
            <w:gridSpan w:val="7"/>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w:t>
            </w:r>
          </w:p>
        </w:tc>
        <w:tc>
          <w:tcPr>
            <w:tcW w:w="2334" w:type="dxa"/>
            <w:gridSpan w:val="8"/>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达标排放后排放至污水处理厂</w:t>
            </w:r>
          </w:p>
        </w:tc>
        <w:tc>
          <w:tcPr>
            <w:tcW w:w="2184" w:type="dxa"/>
            <w:gridSpan w:val="4"/>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排放去向类型</w:t>
            </w:r>
          </w:p>
        </w:tc>
        <w:tc>
          <w:tcPr>
            <w:tcW w:w="4832" w:type="dxa"/>
            <w:gridSpan w:val="7"/>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邳州市城北处理厂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水污染名称</w:t>
            </w:r>
          </w:p>
        </w:tc>
        <w:tc>
          <w:tcPr>
            <w:tcW w:w="34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pH值</w:t>
            </w:r>
          </w:p>
        </w:tc>
        <w:tc>
          <w:tcPr>
            <w:tcW w:w="615"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悬浮物</w:t>
            </w:r>
          </w:p>
        </w:tc>
        <w:tc>
          <w:tcPr>
            <w:tcW w:w="765"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化学需氧量</w:t>
            </w:r>
          </w:p>
        </w:tc>
        <w:tc>
          <w:tcPr>
            <w:tcW w:w="480" w:type="dxa"/>
            <w:gridSpan w:val="2"/>
          </w:tcPr>
          <w:p>
            <w:pPr>
              <w:jc w:val="left"/>
              <w:rPr>
                <w:rFonts w:hint="eastAsia" w:ascii="仿宋" w:hAnsi="仿宋" w:eastAsia="仿宋" w:cs="仿宋"/>
                <w:b w:val="0"/>
                <w:bCs w:val="0"/>
                <w:color w:val="auto"/>
                <w:kern w:val="1"/>
                <w:sz w:val="22"/>
                <w:szCs w:val="22"/>
                <w:highlight w:val="none"/>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氨氮</w:t>
            </w:r>
          </w:p>
        </w:tc>
        <w:tc>
          <w:tcPr>
            <w:tcW w:w="862"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 xml:space="preserve">五日生化需氧量 </w:t>
            </w:r>
          </w:p>
        </w:tc>
        <w:tc>
          <w:tcPr>
            <w:tcW w:w="518"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总氮</w:t>
            </w:r>
          </w:p>
        </w:tc>
        <w:tc>
          <w:tcPr>
            <w:tcW w:w="66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总磷</w:t>
            </w:r>
          </w:p>
        </w:tc>
        <w:tc>
          <w:tcPr>
            <w:tcW w:w="660"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石油类</w:t>
            </w:r>
          </w:p>
        </w:tc>
        <w:tc>
          <w:tcPr>
            <w:tcW w:w="63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挥发酚</w:t>
            </w:r>
          </w:p>
        </w:tc>
        <w:tc>
          <w:tcPr>
            <w:tcW w:w="69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硫化物</w:t>
            </w:r>
          </w:p>
        </w:tc>
        <w:tc>
          <w:tcPr>
            <w:tcW w:w="67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苯</w:t>
            </w:r>
          </w:p>
        </w:tc>
        <w:tc>
          <w:tcPr>
            <w:tcW w:w="87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氰化物</w:t>
            </w:r>
          </w:p>
        </w:tc>
        <w:tc>
          <w:tcPr>
            <w:tcW w:w="70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多环芳烃</w:t>
            </w:r>
          </w:p>
        </w:tc>
        <w:tc>
          <w:tcPr>
            <w:tcW w:w="875" w:type="dxa"/>
          </w:tcPr>
          <w:p>
            <w:pPr>
              <w:jc w:val="left"/>
              <w:rPr>
                <w:rFonts w:hint="eastAsia" w:ascii="仿宋" w:hAnsi="仿宋" w:eastAsia="仿宋" w:cs="仿宋"/>
                <w:b w:val="0"/>
                <w:bCs w:val="0"/>
                <w:color w:val="auto"/>
                <w:kern w:val="1"/>
                <w:sz w:val="22"/>
                <w:szCs w:val="22"/>
                <w:highlight w:val="none"/>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苯并[a]芘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5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规定排放限值</w:t>
            </w:r>
          </w:p>
        </w:tc>
        <w:tc>
          <w:tcPr>
            <w:tcW w:w="34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b w:val="0"/>
                <w:bCs w:val="0"/>
                <w:color w:val="auto"/>
                <w:kern w:val="1"/>
                <w:sz w:val="22"/>
                <w:szCs w:val="22"/>
                <w:highlight w:val="none"/>
                <w:vertAlign w:val="baseline"/>
                <w:lang w:val="en-US" w:eastAsia="zh-CN"/>
              </w:rPr>
              <w:t>6-9</w:t>
            </w:r>
          </w:p>
        </w:tc>
        <w:tc>
          <w:tcPr>
            <w:tcW w:w="615" w:type="dxa"/>
            <w:gridSpan w:val="2"/>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≦25mg/L</w:t>
            </w:r>
          </w:p>
        </w:tc>
        <w:tc>
          <w:tcPr>
            <w:tcW w:w="765"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≦40mg/L</w:t>
            </w:r>
          </w:p>
        </w:tc>
        <w:tc>
          <w:tcPr>
            <w:tcW w:w="480"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≦5mg/L</w:t>
            </w:r>
          </w:p>
        </w:tc>
        <w:tc>
          <w:tcPr>
            <w:tcW w:w="862"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≦10mg/L</w:t>
            </w:r>
          </w:p>
        </w:tc>
        <w:tc>
          <w:tcPr>
            <w:tcW w:w="518"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≦10mg/L</w:t>
            </w:r>
          </w:p>
        </w:tc>
        <w:tc>
          <w:tcPr>
            <w:tcW w:w="66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≦0.5mg/L</w:t>
            </w:r>
          </w:p>
        </w:tc>
        <w:tc>
          <w:tcPr>
            <w:tcW w:w="660" w:type="dxa"/>
            <w:gridSpan w:val="2"/>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≦1.0mg/L</w:t>
            </w:r>
          </w:p>
        </w:tc>
        <w:tc>
          <w:tcPr>
            <w:tcW w:w="63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≦0.10mg/L</w:t>
            </w:r>
          </w:p>
        </w:tc>
        <w:tc>
          <w:tcPr>
            <w:tcW w:w="69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≦0.20mg/L</w:t>
            </w:r>
          </w:p>
        </w:tc>
        <w:tc>
          <w:tcPr>
            <w:tcW w:w="67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≦0.10mg/L</w:t>
            </w:r>
          </w:p>
        </w:tc>
        <w:tc>
          <w:tcPr>
            <w:tcW w:w="87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≦0.20mg/L</w:t>
            </w:r>
          </w:p>
        </w:tc>
        <w:tc>
          <w:tcPr>
            <w:tcW w:w="70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≦0.05mg/L</w:t>
            </w:r>
          </w:p>
        </w:tc>
        <w:tc>
          <w:tcPr>
            <w:tcW w:w="875"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≦0.03μg/L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监测时间</w:t>
            </w:r>
          </w:p>
        </w:tc>
        <w:tc>
          <w:tcPr>
            <w:tcW w:w="9350" w:type="dxa"/>
            <w:gridSpan w:val="19"/>
          </w:tcPr>
          <w:p>
            <w:pPr>
              <w:jc w:val="center"/>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2020.3.6</w:t>
            </w:r>
          </w:p>
        </w:tc>
        <w:tc>
          <w:tcPr>
            <w:tcW w:w="634" w:type="dxa"/>
            <w:gridSpan w:val="2"/>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7.48</w:t>
            </w:r>
          </w:p>
        </w:tc>
        <w:tc>
          <w:tcPr>
            <w:tcW w:w="463" w:type="dxa"/>
            <w:gridSpan w:val="2"/>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15</w:t>
            </w:r>
          </w:p>
        </w:tc>
        <w:tc>
          <w:tcPr>
            <w:tcW w:w="720" w:type="dxa"/>
            <w:gridSpan w:val="2"/>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16</w:t>
            </w:r>
          </w:p>
        </w:tc>
        <w:tc>
          <w:tcPr>
            <w:tcW w:w="517" w:type="dxa"/>
            <w:gridSpan w:val="2"/>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2.94</w:t>
            </w:r>
          </w:p>
        </w:tc>
        <w:tc>
          <w:tcPr>
            <w:tcW w:w="733"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3.6</w:t>
            </w:r>
          </w:p>
        </w:tc>
        <w:tc>
          <w:tcPr>
            <w:tcW w:w="518"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9.82</w:t>
            </w:r>
          </w:p>
        </w:tc>
        <w:tc>
          <w:tcPr>
            <w:tcW w:w="660"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0.46</w:t>
            </w:r>
          </w:p>
        </w:tc>
        <w:tc>
          <w:tcPr>
            <w:tcW w:w="660" w:type="dxa"/>
            <w:gridSpan w:val="2"/>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ND</w:t>
            </w:r>
          </w:p>
        </w:tc>
        <w:tc>
          <w:tcPr>
            <w:tcW w:w="630"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0.032</w:t>
            </w:r>
          </w:p>
        </w:tc>
        <w:tc>
          <w:tcPr>
            <w:tcW w:w="690"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ND</w:t>
            </w:r>
          </w:p>
        </w:tc>
        <w:tc>
          <w:tcPr>
            <w:tcW w:w="675"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ND</w:t>
            </w:r>
          </w:p>
        </w:tc>
        <w:tc>
          <w:tcPr>
            <w:tcW w:w="870"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ND</w:t>
            </w:r>
          </w:p>
        </w:tc>
        <w:tc>
          <w:tcPr>
            <w:tcW w:w="705"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ND</w:t>
            </w:r>
          </w:p>
        </w:tc>
        <w:tc>
          <w:tcPr>
            <w:tcW w:w="875" w:type="dxa"/>
          </w:tcPr>
          <w:p>
            <w:pPr>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ND</w:t>
            </w:r>
          </w:p>
        </w:tc>
      </w:tr>
    </w:tbl>
    <w:p>
      <w:pPr>
        <w:jc w:val="left"/>
        <w:rPr>
          <w:rFonts w:hint="eastAsia" w:ascii="方正小标宋简体" w:hAnsi="方正小标宋简体" w:eastAsia="方正小标宋简体" w:cs="方正小标宋简体"/>
          <w:sz w:val="28"/>
          <w:szCs w:val="28"/>
          <w:lang w:val="en-US" w:eastAsia="zh-CN"/>
        </w:rPr>
      </w:pPr>
    </w:p>
    <w:p>
      <w:pPr>
        <w:jc w:val="center"/>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固体（危险）废物排放信息</w:t>
      </w:r>
    </w:p>
    <w:tbl>
      <w:tblPr>
        <w:tblStyle w:val="3"/>
        <w:tblW w:w="10433" w:type="dxa"/>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192"/>
        <w:gridCol w:w="1575"/>
        <w:gridCol w:w="1395"/>
        <w:gridCol w:w="1380"/>
        <w:gridCol w:w="97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2"/>
                <w:szCs w:val="22"/>
                <w:vertAlign w:val="baseline"/>
                <w:lang w:val="en-US" w:eastAsia="zh-CN"/>
              </w:rPr>
              <w:t>固体（废物名称）</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固废类别</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危废编号</w:t>
            </w:r>
          </w:p>
        </w:tc>
        <w:tc>
          <w:tcPr>
            <w:tcW w:w="1395" w:type="dxa"/>
          </w:tcPr>
          <w:p>
            <w:pPr>
              <w:ind w:firstLine="240" w:firstLineChars="100"/>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产生量</w:t>
            </w:r>
          </w:p>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（2019年）</w:t>
            </w:r>
          </w:p>
        </w:tc>
        <w:tc>
          <w:tcPr>
            <w:tcW w:w="1380" w:type="dxa"/>
          </w:tcPr>
          <w:p>
            <w:pPr>
              <w:ind w:firstLine="240" w:firstLineChars="100"/>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转移量（2019年）</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贮存量</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处置或回收情况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焦油渣</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252-002-11</w:t>
            </w:r>
          </w:p>
        </w:tc>
        <w:tc>
          <w:tcPr>
            <w:tcW w:w="1395"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296.66吨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296.66吨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提盐装置废活性炭</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900-039-49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8吨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废焦炭</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252-015-11</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321吨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321吨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废脱硝催化剂（废钒钛催化剂）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772-007-50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54.36吨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54.36吨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废脱硫剂（废含锌催化剂）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261-152-50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644.9吨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644.9吨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废转化催化剂（废含镍催化剂）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900-037-46</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20.94吨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20.94吨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废合成催化剂（废含铜催化剂）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261-167-50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20.94吨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20.94吨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废铁钼催化剂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261-152-50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258.5吨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258.5吨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废氨合成催化剂（废含铁催化剂）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261-164-50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42.12吨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42.12吨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废活性炭</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900-039-49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216.6吨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216.6吨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废脱硫催化剂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261-173-50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186.26吨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186.26吨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废矿物油</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900-249-08</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49.7吨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49.7吨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沥青渣</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252-001-11</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1.1吨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再生残渣</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252-003-11</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215.17吨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215.17吨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污水厂污泥</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261-069-38</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7377.81吨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7377.81吨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废除油剂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900-039-49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104.94吨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104.94吨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配煤炼焦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废吸附催化剂（含硅、铝）</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261-164-50</w:t>
            </w:r>
          </w:p>
        </w:tc>
        <w:tc>
          <w:tcPr>
            <w:tcW w:w="1395" w:type="dxa"/>
          </w:tcPr>
          <w:p>
            <w:pPr>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废包装桶</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900-041-49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废硫酸催化剂</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261-173-50</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废油漆桶</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900-041-49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26.12吨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26.12吨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废矿物油桶</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900-041-49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21.48吨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21.48吨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废铅酸蓄电池</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900-044-49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化验室废试剂、废试剂瓶及其包装物</w:t>
            </w:r>
          </w:p>
        </w:tc>
        <w:tc>
          <w:tcPr>
            <w:tcW w:w="119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危险废物</w:t>
            </w:r>
          </w:p>
        </w:tc>
        <w:tc>
          <w:tcPr>
            <w:tcW w:w="15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900-047-49</w:t>
            </w:r>
          </w:p>
        </w:tc>
        <w:tc>
          <w:tcPr>
            <w:tcW w:w="139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380" w:type="dxa"/>
            <w:vAlign w:val="top"/>
          </w:tcPr>
          <w:p>
            <w:p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0吨</w:t>
            </w:r>
          </w:p>
        </w:tc>
        <w:tc>
          <w:tcPr>
            <w:tcW w:w="97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0吨</w:t>
            </w:r>
          </w:p>
        </w:tc>
        <w:tc>
          <w:tcPr>
            <w:tcW w:w="170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委托有资质的厂家进行处置</w:t>
            </w:r>
          </w:p>
        </w:tc>
      </w:tr>
    </w:tbl>
    <w:p>
      <w:pPr>
        <w:jc w:val="left"/>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噪声排放信息</w:t>
      </w:r>
    </w:p>
    <w:tbl>
      <w:tblPr>
        <w:tblStyle w:val="3"/>
        <w:tblW w:w="9967" w:type="dxa"/>
        <w:tblInd w:w="-10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3484"/>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2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7767"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《工业企业厂界环境噪声排放标准》（GB12348-2008）3类标准</w:t>
            </w:r>
          </w:p>
          <w:p>
            <w:pPr>
              <w:ind w:firstLine="1440" w:firstLineChars="60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昼间≤65分贝       夜间≤55分贝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7767"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7" w:type="dxa"/>
            <w:gridSpan w:val="3"/>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监测时间和地点</w:t>
            </w:r>
          </w:p>
        </w:tc>
        <w:tc>
          <w:tcPr>
            <w:tcW w:w="34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2020年3月6日，地址:东厂界</w:t>
            </w:r>
          </w:p>
        </w:tc>
        <w:tc>
          <w:tcPr>
            <w:tcW w:w="428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昼间56分贝</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夜间47分贝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监测时间和地点</w:t>
            </w:r>
          </w:p>
        </w:tc>
        <w:tc>
          <w:tcPr>
            <w:tcW w:w="34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2020年3月6日，地址:南厂界</w:t>
            </w:r>
          </w:p>
        </w:tc>
        <w:tc>
          <w:tcPr>
            <w:tcW w:w="428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昼间57分贝</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夜间46分贝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监测时间和地点</w:t>
            </w:r>
          </w:p>
        </w:tc>
        <w:tc>
          <w:tcPr>
            <w:tcW w:w="34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2020年3月6日，地址:西厂界</w:t>
            </w:r>
          </w:p>
        </w:tc>
        <w:tc>
          <w:tcPr>
            <w:tcW w:w="428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昼间57分贝</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夜间48分贝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监测时间和地点</w:t>
            </w:r>
          </w:p>
        </w:tc>
        <w:tc>
          <w:tcPr>
            <w:tcW w:w="348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2020年3月6日，地址:北厂界</w:t>
            </w:r>
          </w:p>
        </w:tc>
        <w:tc>
          <w:tcPr>
            <w:tcW w:w="428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昼间56分贝</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夜间47分贝</w:t>
            </w:r>
          </w:p>
        </w:tc>
      </w:tr>
    </w:tbl>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废气排放信息</w:t>
      </w: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焦炉烟气1#排气筒</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6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6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2020.3.4</w:t>
            </w:r>
          </w:p>
        </w:tc>
        <w:tc>
          <w:tcPr>
            <w:tcW w:w="2657"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5.9mg/m3</w:t>
            </w:r>
          </w:p>
        </w:tc>
        <w:tc>
          <w:tcPr>
            <w:tcW w:w="1893"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8mg/m3</w:t>
            </w:r>
          </w:p>
        </w:tc>
        <w:tc>
          <w:tcPr>
            <w:tcW w:w="2683"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84mg/m3</w:t>
            </w:r>
          </w:p>
        </w:tc>
      </w:tr>
    </w:tbl>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废气排放口编号位置2</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焦炉烟气2#排气筒</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6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657"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c>
          <w:tcPr>
            <w:tcW w:w="189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vAlign w:val="top"/>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2020.3.5</w:t>
            </w:r>
          </w:p>
        </w:tc>
        <w:tc>
          <w:tcPr>
            <w:tcW w:w="2657"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3mg/m3</w:t>
            </w:r>
          </w:p>
        </w:tc>
        <w:tc>
          <w:tcPr>
            <w:tcW w:w="1893"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5mg/m3</w:t>
            </w:r>
          </w:p>
        </w:tc>
        <w:tc>
          <w:tcPr>
            <w:tcW w:w="2683"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34mg/m3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411"/>
        <w:gridCol w:w="246"/>
        <w:gridCol w:w="1893"/>
        <w:gridCol w:w="27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废气排放口编号位置3</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焦炉烟气3#排气筒</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6"/>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683"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657"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c>
          <w:tcPr>
            <w:tcW w:w="189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5"/>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vAlign w:val="top"/>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2020.3.5</w:t>
            </w:r>
          </w:p>
        </w:tc>
        <w:tc>
          <w:tcPr>
            <w:tcW w:w="2411"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3mg/m3</w:t>
            </w:r>
          </w:p>
        </w:tc>
        <w:tc>
          <w:tcPr>
            <w:tcW w:w="2411" w:type="dxa"/>
            <w:gridSpan w:val="3"/>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3mg/m3</w:t>
            </w:r>
          </w:p>
        </w:tc>
        <w:tc>
          <w:tcPr>
            <w:tcW w:w="2411"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100mg/m3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411"/>
        <w:gridCol w:w="246"/>
        <w:gridCol w:w="1893"/>
        <w:gridCol w:w="27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废气排放口编号位置4</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焦炉烟气4#排气筒</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6"/>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683"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657"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c>
          <w:tcPr>
            <w:tcW w:w="189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5"/>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vAlign w:val="top"/>
          </w:tcPr>
          <w:p>
            <w:pPr>
              <w:jc w:val="both"/>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2020.3.4</w:t>
            </w:r>
          </w:p>
        </w:tc>
        <w:tc>
          <w:tcPr>
            <w:tcW w:w="2411"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3mg/m3</w:t>
            </w:r>
          </w:p>
        </w:tc>
        <w:tc>
          <w:tcPr>
            <w:tcW w:w="2411" w:type="dxa"/>
            <w:gridSpan w:val="3"/>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13mg/m3</w:t>
            </w:r>
          </w:p>
        </w:tc>
        <w:tc>
          <w:tcPr>
            <w:tcW w:w="2411" w:type="dxa"/>
            <w:vAlign w:val="top"/>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33mg/m3</w:t>
            </w:r>
          </w:p>
        </w:tc>
      </w:tr>
    </w:tbl>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废气排放口编号位置5</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1#干熄焦环境除尘站除尘器出口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457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457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2020.3.5</w:t>
            </w:r>
          </w:p>
        </w:tc>
        <w:tc>
          <w:tcPr>
            <w:tcW w:w="26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2.1mg/m3</w:t>
            </w:r>
          </w:p>
        </w:tc>
        <w:tc>
          <w:tcPr>
            <w:tcW w:w="457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24mg/m3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废气排放口编号位置6</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2#干熄焦环境除尘站除尘器出口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457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457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2020.3.4</w:t>
            </w:r>
          </w:p>
        </w:tc>
        <w:tc>
          <w:tcPr>
            <w:tcW w:w="2657"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2.1mg/m3</w:t>
            </w:r>
          </w:p>
        </w:tc>
        <w:tc>
          <w:tcPr>
            <w:tcW w:w="4576" w:type="dxa"/>
            <w:gridSpan w:val="2"/>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54mg/m3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废气排放口编号位置7</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1#中间仓布袋除尘器出口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布袋除尘后高空集中排放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2020.3.6</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废气排放口编号位置8</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2#中间仓布袋除尘器出口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布袋除尘后高空集中排放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2020.3.6</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5.9mg/m3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废气排放口编号位置9</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3#中间仓布袋除尘器出口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布袋除尘后高空集中排放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2020.3.6</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1.8mg/m3</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411"/>
        <w:gridCol w:w="246"/>
        <w:gridCol w:w="1893"/>
        <w:gridCol w:w="27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废气排放口编号位置10</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焦炉焦侧1#地面除尘站烟囱出口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6"/>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b w:val="0"/>
                <w:bCs w:val="0"/>
                <w:kern w:val="1"/>
                <w:sz w:val="21"/>
                <w:szCs w:val="21"/>
                <w:highlight w:val="none"/>
                <w:vertAlign w:val="baseline"/>
                <w:lang w:val="en-US" w:eastAsia="zh-CN"/>
              </w:rPr>
              <w:t>苯并[a]芘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≦0.3</w:t>
            </w:r>
            <w:r>
              <w:rPr>
                <w:rFonts w:hint="eastAsia" w:ascii="仿宋" w:hAnsi="仿宋" w:eastAsia="仿宋" w:cs="仿宋"/>
                <w:kern w:val="1"/>
                <w:sz w:val="21"/>
                <w:szCs w:val="21"/>
                <w:highlight w:val="none"/>
                <w:vertAlign w:val="baseline"/>
                <w:lang w:val="en-US" w:eastAsia="zh-CN"/>
              </w:rPr>
              <w:t>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5"/>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2020.3.5</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5.3mg/m3</w:t>
            </w:r>
          </w:p>
        </w:tc>
        <w:tc>
          <w:tcPr>
            <w:tcW w:w="2411" w:type="dxa"/>
            <w:gridSpan w:val="3"/>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411"/>
        <w:gridCol w:w="246"/>
        <w:gridCol w:w="1893"/>
        <w:gridCol w:w="27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废气排放口编号位置11</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焦炉焦侧2#地面除尘站烟囱出口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6"/>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b w:val="0"/>
                <w:bCs w:val="0"/>
                <w:kern w:val="1"/>
                <w:sz w:val="21"/>
                <w:szCs w:val="21"/>
                <w:highlight w:val="none"/>
                <w:vertAlign w:val="baseline"/>
                <w:lang w:val="en-US" w:eastAsia="zh-CN"/>
              </w:rPr>
              <w:t>苯并[a]芘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≦0.3</w:t>
            </w:r>
            <w:r>
              <w:rPr>
                <w:rFonts w:hint="eastAsia" w:ascii="仿宋" w:hAnsi="仿宋" w:eastAsia="仿宋" w:cs="仿宋"/>
                <w:kern w:val="1"/>
                <w:sz w:val="21"/>
                <w:szCs w:val="21"/>
                <w:highlight w:val="none"/>
                <w:vertAlign w:val="baseline"/>
                <w:lang w:val="en-US" w:eastAsia="zh-CN"/>
              </w:rPr>
              <w:t>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5"/>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2020.03.04</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gridSpan w:val="3"/>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411"/>
        <w:gridCol w:w="246"/>
        <w:gridCol w:w="1893"/>
        <w:gridCol w:w="27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废气排放口编号位置12</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焦炉机侧1#地面除尘站烟囱出口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6"/>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b w:val="0"/>
                <w:bCs w:val="0"/>
                <w:kern w:val="1"/>
                <w:sz w:val="21"/>
                <w:szCs w:val="21"/>
                <w:highlight w:val="none"/>
                <w:vertAlign w:val="baseline"/>
                <w:lang w:val="en-US" w:eastAsia="zh-CN"/>
              </w:rPr>
              <w:t>苯并[a]芘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≦0.3</w:t>
            </w:r>
            <w:r>
              <w:rPr>
                <w:rFonts w:hint="eastAsia" w:ascii="仿宋" w:hAnsi="仿宋" w:eastAsia="仿宋" w:cs="仿宋"/>
                <w:kern w:val="1"/>
                <w:sz w:val="21"/>
                <w:szCs w:val="21"/>
                <w:highlight w:val="none"/>
                <w:vertAlign w:val="baseline"/>
                <w:lang w:val="en-US" w:eastAsia="zh-CN"/>
              </w:rPr>
              <w:t>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5"/>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2020.3.6</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gridSpan w:val="3"/>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411"/>
        <w:gridCol w:w="246"/>
        <w:gridCol w:w="1893"/>
        <w:gridCol w:w="27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废气排放口编号位置13</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焦炉机侧2#地面除尘站烟囱出口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gridSpan w:val="2"/>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gridSpan w:val="2"/>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经脱硫脱硝处理后高空集中排放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6"/>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b w:val="0"/>
                <w:bCs w:val="0"/>
                <w:kern w:val="1"/>
                <w:sz w:val="21"/>
                <w:szCs w:val="21"/>
                <w:highlight w:val="none"/>
                <w:vertAlign w:val="baseline"/>
                <w:lang w:val="en-US" w:eastAsia="zh-CN"/>
              </w:rPr>
              <w:t>苯并[a]芘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≦30mg/m3</w:t>
            </w:r>
          </w:p>
        </w:tc>
        <w:tc>
          <w:tcPr>
            <w:tcW w:w="241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≦0.3</w:t>
            </w:r>
            <w:r>
              <w:rPr>
                <w:rFonts w:hint="eastAsia" w:ascii="仿宋" w:hAnsi="仿宋" w:eastAsia="仿宋" w:cs="仿宋"/>
                <w:kern w:val="1"/>
                <w:sz w:val="21"/>
                <w:szCs w:val="21"/>
                <w:highlight w:val="none"/>
                <w:vertAlign w:val="baseline"/>
                <w:lang w:val="en-US" w:eastAsia="zh-CN"/>
              </w:rPr>
              <w:t>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5"/>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2020.3.6</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gridSpan w:val="3"/>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c>
          <w:tcPr>
            <w:tcW w:w="2411" w:type="dxa"/>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废气排放口编号位置14</w:t>
            </w:r>
          </w:p>
        </w:tc>
        <w:tc>
          <w:tcPr>
            <w:tcW w:w="265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1#终破碎脉冲布袋除尘器出口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2020.03.05</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ND</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657"/>
        <w:gridCol w:w="18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废气排放口编号位置15</w:t>
            </w:r>
          </w:p>
        </w:tc>
        <w:tc>
          <w:tcPr>
            <w:tcW w:w="265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2#终破碎脉冲布袋除尘器出口</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265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189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2683"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4"/>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3"/>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2020.03.05</w:t>
            </w:r>
          </w:p>
        </w:tc>
        <w:tc>
          <w:tcPr>
            <w:tcW w:w="7233" w:type="dxa"/>
            <w:gridSpan w:val="3"/>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3.6mg/m3</w:t>
            </w:r>
          </w:p>
        </w:tc>
      </w:tr>
    </w:tbl>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tbl>
      <w:tblPr>
        <w:tblStyle w:val="3"/>
        <w:tblW w:w="9750"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776"/>
        <w:gridCol w:w="750"/>
        <w:gridCol w:w="840"/>
        <w:gridCol w:w="975"/>
        <w:gridCol w:w="795"/>
        <w:gridCol w:w="765"/>
        <w:gridCol w:w="810"/>
        <w:gridCol w:w="735"/>
        <w:gridCol w:w="36"/>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废气排放口编号位置16</w:t>
            </w:r>
          </w:p>
        </w:tc>
        <w:tc>
          <w:tcPr>
            <w:tcW w:w="3341" w:type="dxa"/>
            <w:gridSpan w:val="4"/>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RTO焚烧炉</w:t>
            </w:r>
          </w:p>
        </w:tc>
        <w:tc>
          <w:tcPr>
            <w:tcW w:w="2370" w:type="dxa"/>
            <w:gridSpan w:val="3"/>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1522" w:type="dxa"/>
            <w:gridSpan w:val="3"/>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徐州徐测环境检测有限公司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执行的排放标准</w:t>
            </w:r>
          </w:p>
        </w:tc>
        <w:tc>
          <w:tcPr>
            <w:tcW w:w="3341" w:type="dxa"/>
            <w:gridSpan w:val="4"/>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《炼焦化学工业污染物排放标准》（GB16171-2012）</w:t>
            </w:r>
          </w:p>
        </w:tc>
        <w:tc>
          <w:tcPr>
            <w:tcW w:w="2370" w:type="dxa"/>
            <w:gridSpan w:val="3"/>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排放方式和排放去向</w:t>
            </w:r>
          </w:p>
        </w:tc>
        <w:tc>
          <w:tcPr>
            <w:tcW w:w="1522" w:type="dxa"/>
            <w:gridSpan w:val="3"/>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焚烧后高空集中排放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11"/>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大气污染物名称</w:t>
            </w:r>
          </w:p>
        </w:tc>
        <w:tc>
          <w:tcPr>
            <w:tcW w:w="776" w:type="dxa"/>
          </w:tcPr>
          <w:p>
            <w:pPr>
              <w:jc w:val="both"/>
              <w:rPr>
                <w:rFonts w:hint="eastAsia" w:ascii="仿宋" w:hAnsi="仿宋" w:eastAsia="仿宋" w:cs="仿宋"/>
                <w:sz w:val="20"/>
                <w:szCs w:val="20"/>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苯并[a]芘</w:t>
            </w:r>
          </w:p>
        </w:tc>
        <w:tc>
          <w:tcPr>
            <w:tcW w:w="750" w:type="dxa"/>
          </w:tcPr>
          <w:p>
            <w:pPr>
              <w:jc w:val="both"/>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氰化氢</w:t>
            </w:r>
          </w:p>
        </w:tc>
        <w:tc>
          <w:tcPr>
            <w:tcW w:w="840" w:type="dxa"/>
          </w:tcPr>
          <w:p>
            <w:pPr>
              <w:jc w:val="both"/>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二氧化硫</w:t>
            </w:r>
          </w:p>
        </w:tc>
        <w:tc>
          <w:tcPr>
            <w:tcW w:w="975" w:type="dxa"/>
          </w:tcPr>
          <w:p>
            <w:pPr>
              <w:jc w:val="both"/>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氮氧化物</w:t>
            </w:r>
          </w:p>
        </w:tc>
        <w:tc>
          <w:tcPr>
            <w:tcW w:w="795" w:type="dxa"/>
          </w:tcPr>
          <w:p>
            <w:pPr>
              <w:jc w:val="both"/>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硫化氢</w:t>
            </w:r>
          </w:p>
        </w:tc>
        <w:tc>
          <w:tcPr>
            <w:tcW w:w="765" w:type="dxa"/>
          </w:tcPr>
          <w:p>
            <w:pPr>
              <w:jc w:val="both"/>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苯</w:t>
            </w:r>
          </w:p>
        </w:tc>
        <w:tc>
          <w:tcPr>
            <w:tcW w:w="810" w:type="dxa"/>
          </w:tcPr>
          <w:p>
            <w:pPr>
              <w:jc w:val="both"/>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非甲烷总烃</w:t>
            </w:r>
          </w:p>
        </w:tc>
        <w:tc>
          <w:tcPr>
            <w:tcW w:w="735" w:type="dxa"/>
          </w:tcPr>
          <w:p>
            <w:pPr>
              <w:jc w:val="both"/>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氨</w:t>
            </w:r>
          </w:p>
        </w:tc>
        <w:tc>
          <w:tcPr>
            <w:tcW w:w="787" w:type="dxa"/>
            <w:gridSpan w:val="2"/>
          </w:tcPr>
          <w:p>
            <w:pPr>
              <w:jc w:val="both"/>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酚类化合物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规定排放限值</w:t>
            </w:r>
          </w:p>
        </w:tc>
        <w:tc>
          <w:tcPr>
            <w:tcW w:w="776"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≦0.3μg/L</w:t>
            </w:r>
          </w:p>
        </w:tc>
        <w:tc>
          <w:tcPr>
            <w:tcW w:w="750"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≦1mg/m3</w:t>
            </w:r>
          </w:p>
        </w:tc>
        <w:tc>
          <w:tcPr>
            <w:tcW w:w="840"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≦30mg/m3</w:t>
            </w:r>
          </w:p>
        </w:tc>
        <w:tc>
          <w:tcPr>
            <w:tcW w:w="975"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≦150mg/m3</w:t>
            </w:r>
          </w:p>
        </w:tc>
        <w:tc>
          <w:tcPr>
            <w:tcW w:w="795"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≦1mg/m3</w:t>
            </w:r>
          </w:p>
        </w:tc>
        <w:tc>
          <w:tcPr>
            <w:tcW w:w="765"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≦6mg/m3</w:t>
            </w:r>
          </w:p>
        </w:tc>
        <w:tc>
          <w:tcPr>
            <w:tcW w:w="810"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≦50mg/m3</w:t>
            </w:r>
          </w:p>
        </w:tc>
        <w:tc>
          <w:tcPr>
            <w:tcW w:w="735" w:type="dxa"/>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≦10mg/m3</w:t>
            </w:r>
          </w:p>
        </w:tc>
        <w:tc>
          <w:tcPr>
            <w:tcW w:w="787" w:type="dxa"/>
            <w:gridSpan w:val="2"/>
            <w:vAlign w:val="top"/>
          </w:tcPr>
          <w:p>
            <w:pPr>
              <w:jc w:val="both"/>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监测时间</w:t>
            </w:r>
          </w:p>
        </w:tc>
        <w:tc>
          <w:tcPr>
            <w:tcW w:w="7233" w:type="dxa"/>
            <w:gridSpan w:val="10"/>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vAlign w:val="top"/>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2019.11.12</w:t>
            </w:r>
          </w:p>
        </w:tc>
        <w:tc>
          <w:tcPr>
            <w:tcW w:w="776" w:type="dxa"/>
            <w:vAlign w:val="top"/>
          </w:tcPr>
          <w:p>
            <w:pPr>
              <w:jc w:val="center"/>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ND</w:t>
            </w:r>
          </w:p>
        </w:tc>
        <w:tc>
          <w:tcPr>
            <w:tcW w:w="750" w:type="dxa"/>
            <w:vAlign w:val="top"/>
          </w:tcPr>
          <w:p>
            <w:pPr>
              <w:jc w:val="center"/>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0.21</w:t>
            </w:r>
          </w:p>
        </w:tc>
        <w:tc>
          <w:tcPr>
            <w:tcW w:w="840" w:type="dxa"/>
            <w:vAlign w:val="top"/>
          </w:tcPr>
          <w:p>
            <w:pPr>
              <w:jc w:val="center"/>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ND</w:t>
            </w:r>
          </w:p>
        </w:tc>
        <w:tc>
          <w:tcPr>
            <w:tcW w:w="975" w:type="dxa"/>
            <w:vAlign w:val="top"/>
          </w:tcPr>
          <w:p>
            <w:pPr>
              <w:jc w:val="center"/>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15</w:t>
            </w:r>
          </w:p>
        </w:tc>
        <w:tc>
          <w:tcPr>
            <w:tcW w:w="795" w:type="dxa"/>
            <w:vAlign w:val="top"/>
          </w:tcPr>
          <w:p>
            <w:pPr>
              <w:jc w:val="center"/>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ND</w:t>
            </w:r>
          </w:p>
        </w:tc>
        <w:tc>
          <w:tcPr>
            <w:tcW w:w="765" w:type="dxa"/>
            <w:vAlign w:val="top"/>
          </w:tcPr>
          <w:p>
            <w:pPr>
              <w:jc w:val="center"/>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0.088</w:t>
            </w:r>
          </w:p>
        </w:tc>
        <w:tc>
          <w:tcPr>
            <w:tcW w:w="810" w:type="dxa"/>
            <w:vAlign w:val="top"/>
          </w:tcPr>
          <w:p>
            <w:pPr>
              <w:jc w:val="center"/>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0.77</w:t>
            </w:r>
          </w:p>
        </w:tc>
        <w:tc>
          <w:tcPr>
            <w:tcW w:w="771" w:type="dxa"/>
            <w:gridSpan w:val="2"/>
            <w:vAlign w:val="top"/>
          </w:tcPr>
          <w:p>
            <w:pPr>
              <w:jc w:val="center"/>
              <w:rPr>
                <w:rFonts w:hint="default"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0.55</w:t>
            </w:r>
          </w:p>
        </w:tc>
        <w:tc>
          <w:tcPr>
            <w:tcW w:w="751" w:type="dxa"/>
            <w:vAlign w:val="top"/>
          </w:tcPr>
          <w:p>
            <w:pPr>
              <w:jc w:val="center"/>
              <w:rPr>
                <w:rFonts w:hint="eastAsia" w:ascii="仿宋" w:hAnsi="仿宋" w:eastAsia="仿宋" w:cs="仿宋"/>
                <w:b w:val="0"/>
                <w:bCs w:val="0"/>
                <w:kern w:val="1"/>
                <w:sz w:val="16"/>
                <w:szCs w:val="16"/>
                <w:highlight w:val="none"/>
                <w:vertAlign w:val="baseline"/>
                <w:lang w:val="en-US" w:eastAsia="zh-CN"/>
              </w:rPr>
            </w:pPr>
            <w:r>
              <w:rPr>
                <w:rFonts w:hint="eastAsia" w:ascii="仿宋" w:hAnsi="仿宋" w:eastAsia="仿宋" w:cs="仿宋"/>
                <w:b w:val="0"/>
                <w:bCs w:val="0"/>
                <w:kern w:val="1"/>
                <w:sz w:val="16"/>
                <w:szCs w:val="16"/>
                <w:highlight w:val="none"/>
                <w:vertAlign w:val="baseline"/>
                <w:lang w:val="en-US" w:eastAsia="zh-CN"/>
              </w:rPr>
              <w:t>ND</w:t>
            </w:r>
          </w:p>
        </w:tc>
      </w:tr>
    </w:tbl>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环境验收监测信息</w:t>
      </w:r>
    </w:p>
    <w:tbl>
      <w:tblPr>
        <w:tblStyle w:val="3"/>
        <w:tblW w:w="9750" w:type="dxa"/>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566"/>
        <w:gridCol w:w="2222"/>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监测单位和方式</w:t>
            </w:r>
          </w:p>
        </w:tc>
        <w:tc>
          <w:tcPr>
            <w:tcW w:w="2566"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委托徐州徐测环境检测有限公司监测</w:t>
            </w:r>
          </w:p>
        </w:tc>
        <w:tc>
          <w:tcPr>
            <w:tcW w:w="222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检测点地图</w:t>
            </w:r>
          </w:p>
        </w:tc>
        <w:tc>
          <w:tcPr>
            <w:tcW w:w="246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因文件太大，需要者与单位联系，依据申请提供复印件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监测年度报告</w:t>
            </w:r>
          </w:p>
        </w:tc>
        <w:tc>
          <w:tcPr>
            <w:tcW w:w="2566"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因文件太大，需要者与单位联系，依据申请提供复印件</w:t>
            </w:r>
          </w:p>
        </w:tc>
        <w:tc>
          <w:tcPr>
            <w:tcW w:w="222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自行监测方案</w:t>
            </w:r>
          </w:p>
        </w:tc>
        <w:tc>
          <w:tcPr>
            <w:tcW w:w="2462"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因文件太大，需要者与单位联系，依据申请提供复印件</w:t>
            </w:r>
          </w:p>
        </w:tc>
      </w:tr>
    </w:tbl>
    <w:p>
      <w:pPr>
        <w:jc w:val="left"/>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水污染治理设施建设运营信息</w:t>
      </w:r>
    </w:p>
    <w:tbl>
      <w:tblPr>
        <w:tblStyle w:val="3"/>
        <w:tblW w:w="9767"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750"/>
        <w:gridCol w:w="1316"/>
        <w:gridCol w:w="1317"/>
        <w:gridCol w:w="1139"/>
        <w:gridCol w:w="1065"/>
        <w:gridCol w:w="106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治理设施名称</w:t>
            </w:r>
          </w:p>
        </w:tc>
        <w:tc>
          <w:tcPr>
            <w:tcW w:w="750"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13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投运日期</w:t>
            </w:r>
          </w:p>
        </w:tc>
        <w:tc>
          <w:tcPr>
            <w:tcW w:w="13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处理工艺</w:t>
            </w:r>
          </w:p>
        </w:tc>
        <w:tc>
          <w:tcPr>
            <w:tcW w:w="1139"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设计能力</w:t>
            </w:r>
          </w:p>
        </w:tc>
        <w:tc>
          <w:tcPr>
            <w:tcW w:w="106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实际处理量</w:t>
            </w:r>
          </w:p>
        </w:tc>
        <w:tc>
          <w:tcPr>
            <w:tcW w:w="106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运行时间</w:t>
            </w:r>
          </w:p>
        </w:tc>
        <w:tc>
          <w:tcPr>
            <w:tcW w:w="139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酚氰废水处理站</w:t>
            </w:r>
          </w:p>
        </w:tc>
        <w:tc>
          <w:tcPr>
            <w:tcW w:w="750"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316" w:type="dxa"/>
          </w:tcPr>
          <w:p>
            <w:pPr>
              <w:jc w:val="both"/>
              <w:rPr>
                <w:rFonts w:hint="eastAsia" w:ascii="仿宋" w:hAnsi="仿宋" w:eastAsia="仿宋" w:cs="仿宋"/>
                <w:sz w:val="24"/>
                <w:szCs w:val="24"/>
                <w:vertAlign w:val="baseline"/>
                <w:lang w:val="en-US" w:eastAsia="zh-CN"/>
              </w:rPr>
            </w:pPr>
          </w:p>
        </w:tc>
        <w:tc>
          <w:tcPr>
            <w:tcW w:w="13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A2/O工艺</w:t>
            </w:r>
          </w:p>
        </w:tc>
        <w:tc>
          <w:tcPr>
            <w:tcW w:w="1139"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2X100t/h</w:t>
            </w:r>
          </w:p>
        </w:tc>
        <w:tc>
          <w:tcPr>
            <w:tcW w:w="106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17.44t/h</w:t>
            </w:r>
          </w:p>
        </w:tc>
        <w:tc>
          <w:tcPr>
            <w:tcW w:w="106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24h/天</w:t>
            </w:r>
          </w:p>
        </w:tc>
        <w:tc>
          <w:tcPr>
            <w:tcW w:w="139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生化水深度处理站</w:t>
            </w:r>
          </w:p>
        </w:tc>
        <w:tc>
          <w:tcPr>
            <w:tcW w:w="750" w:type="dxa"/>
          </w:tcPr>
          <w:p>
            <w:pPr>
              <w:jc w:val="both"/>
              <w:rPr>
                <w:rFonts w:hint="eastAsia" w:ascii="仿宋" w:hAnsi="仿宋" w:eastAsia="仿宋" w:cs="仿宋"/>
                <w:sz w:val="24"/>
                <w:szCs w:val="24"/>
                <w:vertAlign w:val="baseline"/>
                <w:lang w:val="en-US" w:eastAsia="zh-CN"/>
              </w:rPr>
            </w:pPr>
          </w:p>
        </w:tc>
        <w:tc>
          <w:tcPr>
            <w:tcW w:w="1316" w:type="dxa"/>
          </w:tcPr>
          <w:p>
            <w:pPr>
              <w:jc w:val="both"/>
              <w:rPr>
                <w:rFonts w:hint="eastAsia" w:ascii="仿宋" w:hAnsi="仿宋" w:eastAsia="仿宋" w:cs="仿宋"/>
                <w:sz w:val="24"/>
                <w:szCs w:val="24"/>
                <w:vertAlign w:val="baseline"/>
                <w:lang w:val="en-US" w:eastAsia="zh-CN"/>
              </w:rPr>
            </w:pPr>
          </w:p>
        </w:tc>
        <w:tc>
          <w:tcPr>
            <w:tcW w:w="131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芬顿氧化+混凝沉淀+气浮</w:t>
            </w:r>
          </w:p>
        </w:tc>
        <w:tc>
          <w:tcPr>
            <w:tcW w:w="1139"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150t/h</w:t>
            </w:r>
          </w:p>
        </w:tc>
        <w:tc>
          <w:tcPr>
            <w:tcW w:w="1065" w:type="dxa"/>
          </w:tcPr>
          <w:p>
            <w:pPr>
              <w:jc w:val="both"/>
              <w:rPr>
                <w:rFonts w:hint="eastAsia" w:ascii="仿宋" w:hAnsi="仿宋" w:eastAsia="仿宋" w:cs="仿宋"/>
                <w:sz w:val="24"/>
                <w:szCs w:val="24"/>
                <w:vertAlign w:val="baseline"/>
                <w:lang w:val="en-US" w:eastAsia="zh-CN"/>
              </w:rPr>
            </w:pPr>
          </w:p>
        </w:tc>
        <w:tc>
          <w:tcPr>
            <w:tcW w:w="1066" w:type="dxa"/>
          </w:tcPr>
          <w:p>
            <w:pPr>
              <w:jc w:val="both"/>
              <w:rPr>
                <w:rFonts w:hint="eastAsia" w:ascii="仿宋" w:hAnsi="仿宋" w:eastAsia="仿宋" w:cs="仿宋"/>
                <w:sz w:val="24"/>
                <w:szCs w:val="24"/>
                <w:vertAlign w:val="baseline"/>
                <w:lang w:val="en-US" w:eastAsia="zh-CN"/>
              </w:rPr>
            </w:pPr>
          </w:p>
        </w:tc>
        <w:tc>
          <w:tcPr>
            <w:tcW w:w="1397" w:type="dxa"/>
          </w:tcPr>
          <w:p>
            <w:pPr>
              <w:jc w:val="both"/>
              <w:rPr>
                <w:rFonts w:hint="eastAsia" w:ascii="仿宋" w:hAnsi="仿宋" w:eastAsia="仿宋" w:cs="仿宋"/>
                <w:sz w:val="24"/>
                <w:szCs w:val="24"/>
                <w:vertAlign w:val="baseline"/>
                <w:lang w:val="en-US" w:eastAsia="zh-CN"/>
              </w:rPr>
            </w:pP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废气污染治理设施建设运营信息</w:t>
      </w:r>
    </w:p>
    <w:tbl>
      <w:tblPr>
        <w:tblStyle w:val="3"/>
        <w:tblW w:w="9419" w:type="dxa"/>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67"/>
        <w:gridCol w:w="1583"/>
        <w:gridCol w:w="199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治理实施名称</w:t>
            </w:r>
          </w:p>
        </w:tc>
        <w:tc>
          <w:tcPr>
            <w:tcW w:w="12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投运日期</w:t>
            </w:r>
          </w:p>
        </w:tc>
        <w:tc>
          <w:tcPr>
            <w:tcW w:w="15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处理工艺</w:t>
            </w:r>
          </w:p>
        </w:tc>
        <w:tc>
          <w:tcPr>
            <w:tcW w:w="199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设计处理能力</w:t>
            </w:r>
          </w:p>
        </w:tc>
        <w:tc>
          <w:tcPr>
            <w:tcW w:w="142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运行时间</w:t>
            </w:r>
          </w:p>
        </w:tc>
        <w:tc>
          <w:tcPr>
            <w:tcW w:w="142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焦炉烟气排气筒</w:t>
            </w:r>
          </w:p>
        </w:tc>
        <w:tc>
          <w:tcPr>
            <w:tcW w:w="1267" w:type="dxa"/>
          </w:tcPr>
          <w:p>
            <w:pPr>
              <w:jc w:val="both"/>
              <w:rPr>
                <w:rFonts w:hint="eastAsia" w:ascii="仿宋" w:hAnsi="仿宋" w:eastAsia="仿宋" w:cs="仿宋"/>
                <w:sz w:val="24"/>
                <w:szCs w:val="24"/>
                <w:vertAlign w:val="baseline"/>
                <w:lang w:val="en-US" w:eastAsia="zh-CN"/>
              </w:rPr>
            </w:pPr>
          </w:p>
        </w:tc>
        <w:tc>
          <w:tcPr>
            <w:tcW w:w="15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SCR脱硝+聚集器+新型催化脱硫</w:t>
            </w:r>
          </w:p>
        </w:tc>
        <w:tc>
          <w:tcPr>
            <w:tcW w:w="199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124100m3/h</w:t>
            </w:r>
          </w:p>
        </w:tc>
        <w:tc>
          <w:tcPr>
            <w:tcW w:w="142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365天</w:t>
            </w:r>
          </w:p>
        </w:tc>
        <w:tc>
          <w:tcPr>
            <w:tcW w:w="142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焦炉焦侧地面除尘站</w:t>
            </w:r>
          </w:p>
        </w:tc>
        <w:tc>
          <w:tcPr>
            <w:tcW w:w="1267" w:type="dxa"/>
          </w:tcPr>
          <w:p>
            <w:pPr>
              <w:jc w:val="both"/>
              <w:rPr>
                <w:rFonts w:hint="eastAsia" w:ascii="仿宋" w:hAnsi="仿宋" w:eastAsia="仿宋" w:cs="仿宋"/>
                <w:sz w:val="24"/>
                <w:szCs w:val="24"/>
                <w:vertAlign w:val="baseline"/>
                <w:lang w:val="en-US" w:eastAsia="zh-CN"/>
              </w:rPr>
            </w:pPr>
          </w:p>
        </w:tc>
        <w:tc>
          <w:tcPr>
            <w:tcW w:w="1583" w:type="dxa"/>
          </w:tcPr>
          <w:p>
            <w:pPr>
              <w:jc w:val="both"/>
              <w:rPr>
                <w:rFonts w:hint="eastAsia" w:ascii="仿宋" w:hAnsi="仿宋" w:eastAsia="仿宋" w:cs="仿宋"/>
                <w:sz w:val="24"/>
                <w:szCs w:val="24"/>
                <w:vertAlign w:val="baseline"/>
                <w:lang w:val="en-US" w:eastAsia="zh-CN"/>
              </w:rPr>
            </w:pPr>
          </w:p>
        </w:tc>
        <w:tc>
          <w:tcPr>
            <w:tcW w:w="1994" w:type="dxa"/>
          </w:tcPr>
          <w:p>
            <w:pPr>
              <w:jc w:val="both"/>
              <w:rPr>
                <w:rFonts w:hint="eastAsia" w:ascii="仿宋" w:hAnsi="仿宋" w:eastAsia="仿宋" w:cs="仿宋"/>
                <w:sz w:val="24"/>
                <w:szCs w:val="24"/>
                <w:vertAlign w:val="baseline"/>
                <w:lang w:val="en-US" w:eastAsia="zh-CN"/>
              </w:rPr>
            </w:pPr>
          </w:p>
        </w:tc>
        <w:tc>
          <w:tcPr>
            <w:tcW w:w="1421" w:type="dxa"/>
          </w:tcPr>
          <w:p>
            <w:pPr>
              <w:jc w:val="both"/>
              <w:rPr>
                <w:rFonts w:hint="eastAsia" w:ascii="仿宋" w:hAnsi="仿宋" w:eastAsia="仿宋" w:cs="仿宋"/>
                <w:sz w:val="24"/>
                <w:szCs w:val="24"/>
                <w:vertAlign w:val="baseline"/>
                <w:lang w:val="en-US" w:eastAsia="zh-CN"/>
              </w:rPr>
            </w:pPr>
          </w:p>
        </w:tc>
        <w:tc>
          <w:tcPr>
            <w:tcW w:w="1421"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干熄焦环境除尘设施</w:t>
            </w:r>
          </w:p>
        </w:tc>
        <w:tc>
          <w:tcPr>
            <w:tcW w:w="1267" w:type="dxa"/>
          </w:tcPr>
          <w:p>
            <w:pPr>
              <w:jc w:val="both"/>
              <w:rPr>
                <w:rFonts w:hint="eastAsia" w:ascii="仿宋" w:hAnsi="仿宋" w:eastAsia="仿宋" w:cs="仿宋"/>
                <w:sz w:val="24"/>
                <w:szCs w:val="24"/>
                <w:vertAlign w:val="baseline"/>
                <w:lang w:val="en-US" w:eastAsia="zh-CN"/>
              </w:rPr>
            </w:pPr>
          </w:p>
        </w:tc>
        <w:tc>
          <w:tcPr>
            <w:tcW w:w="15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低压脉冲布袋除尘</w:t>
            </w:r>
          </w:p>
        </w:tc>
        <w:tc>
          <w:tcPr>
            <w:tcW w:w="199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200000m3/h</w:t>
            </w:r>
          </w:p>
        </w:tc>
        <w:tc>
          <w:tcPr>
            <w:tcW w:w="142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365天</w:t>
            </w:r>
          </w:p>
        </w:tc>
        <w:tc>
          <w:tcPr>
            <w:tcW w:w="142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中间仓除尘设施</w:t>
            </w:r>
          </w:p>
        </w:tc>
        <w:tc>
          <w:tcPr>
            <w:tcW w:w="1267" w:type="dxa"/>
          </w:tcPr>
          <w:p>
            <w:pPr>
              <w:jc w:val="both"/>
              <w:rPr>
                <w:rFonts w:hint="eastAsia" w:ascii="仿宋" w:hAnsi="仿宋" w:eastAsia="仿宋" w:cs="仿宋"/>
                <w:sz w:val="24"/>
                <w:szCs w:val="24"/>
                <w:vertAlign w:val="baseline"/>
                <w:lang w:val="en-US" w:eastAsia="zh-CN"/>
              </w:rPr>
            </w:pPr>
          </w:p>
        </w:tc>
        <w:tc>
          <w:tcPr>
            <w:tcW w:w="15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湿式水雾补集+布袋除尘</w:t>
            </w:r>
          </w:p>
        </w:tc>
        <w:tc>
          <w:tcPr>
            <w:tcW w:w="199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1000m3/h</w:t>
            </w:r>
          </w:p>
        </w:tc>
        <w:tc>
          <w:tcPr>
            <w:tcW w:w="1421" w:type="dxa"/>
          </w:tcPr>
          <w:p>
            <w:pPr>
              <w:jc w:val="both"/>
              <w:rPr>
                <w:rFonts w:hint="eastAsia" w:ascii="仿宋" w:hAnsi="仿宋" w:eastAsia="仿宋" w:cs="仿宋"/>
                <w:sz w:val="24"/>
                <w:szCs w:val="24"/>
                <w:vertAlign w:val="baseline"/>
                <w:lang w:val="en-US" w:eastAsia="zh-CN"/>
              </w:rPr>
            </w:pPr>
          </w:p>
        </w:tc>
        <w:tc>
          <w:tcPr>
            <w:tcW w:w="1421"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RTO焚烧炉处理有机物废气</w:t>
            </w:r>
          </w:p>
        </w:tc>
        <w:tc>
          <w:tcPr>
            <w:tcW w:w="1267" w:type="dxa"/>
            <w:vAlign w:val="center"/>
          </w:tcPr>
          <w:p>
            <w:pPr>
              <w:jc w:val="center"/>
              <w:rPr>
                <w:rFonts w:hint="eastAsia" w:ascii="仿宋" w:hAnsi="仿宋" w:eastAsia="仿宋" w:cs="仿宋"/>
                <w:sz w:val="24"/>
                <w:szCs w:val="24"/>
                <w:vertAlign w:val="baseline"/>
                <w:lang w:val="en-US" w:eastAsia="zh-CN"/>
              </w:rPr>
            </w:pPr>
          </w:p>
        </w:tc>
        <w:tc>
          <w:tcPr>
            <w:tcW w:w="158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天然气焚烧</w:t>
            </w:r>
          </w:p>
        </w:tc>
        <w:tc>
          <w:tcPr>
            <w:tcW w:w="1994" w:type="dxa"/>
          </w:tcPr>
          <w:p>
            <w:pPr>
              <w:jc w:val="both"/>
              <w:rPr>
                <w:rFonts w:hint="eastAsia" w:ascii="仿宋" w:hAnsi="仿宋" w:eastAsia="仿宋" w:cs="仿宋"/>
                <w:sz w:val="24"/>
                <w:szCs w:val="24"/>
                <w:vertAlign w:val="baseline"/>
                <w:lang w:val="en-US" w:eastAsia="zh-CN"/>
              </w:rPr>
            </w:pPr>
          </w:p>
        </w:tc>
        <w:tc>
          <w:tcPr>
            <w:tcW w:w="1421" w:type="dxa"/>
          </w:tcPr>
          <w:p>
            <w:pPr>
              <w:jc w:val="both"/>
              <w:rPr>
                <w:rFonts w:hint="eastAsia" w:ascii="仿宋" w:hAnsi="仿宋" w:eastAsia="仿宋" w:cs="仿宋"/>
                <w:sz w:val="24"/>
                <w:szCs w:val="24"/>
                <w:vertAlign w:val="baseline"/>
                <w:lang w:val="en-US" w:eastAsia="zh-CN"/>
              </w:rPr>
            </w:pPr>
          </w:p>
        </w:tc>
        <w:tc>
          <w:tcPr>
            <w:tcW w:w="1421" w:type="dxa"/>
          </w:tcPr>
          <w:p>
            <w:pPr>
              <w:jc w:val="both"/>
              <w:rPr>
                <w:rFonts w:hint="eastAsia" w:ascii="仿宋" w:hAnsi="仿宋" w:eastAsia="仿宋" w:cs="仿宋"/>
                <w:sz w:val="24"/>
                <w:szCs w:val="24"/>
                <w:vertAlign w:val="baseline"/>
                <w:lang w:val="en-US" w:eastAsia="zh-CN"/>
              </w:rPr>
            </w:pP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噪声污染治理设施建设运营信息</w:t>
      </w:r>
    </w:p>
    <w:tbl>
      <w:tblPr>
        <w:tblStyle w:val="3"/>
        <w:tblW w:w="9403" w:type="dxa"/>
        <w:tblInd w:w="-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治理实施名称</w:t>
            </w:r>
          </w:p>
        </w:tc>
        <w:tc>
          <w:tcPr>
            <w:tcW w:w="2130"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投运日期</w:t>
            </w:r>
          </w:p>
        </w:tc>
        <w:tc>
          <w:tcPr>
            <w:tcW w:w="213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运行时间</w:t>
            </w:r>
          </w:p>
        </w:tc>
        <w:tc>
          <w:tcPr>
            <w:tcW w:w="213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生产设施选用高效低噪声设备</w:t>
            </w:r>
          </w:p>
        </w:tc>
        <w:tc>
          <w:tcPr>
            <w:tcW w:w="2130" w:type="dxa"/>
          </w:tcPr>
          <w:p>
            <w:pPr>
              <w:jc w:val="both"/>
              <w:rPr>
                <w:rFonts w:hint="eastAsia" w:ascii="仿宋" w:hAnsi="仿宋" w:eastAsia="仿宋" w:cs="仿宋"/>
                <w:sz w:val="24"/>
                <w:szCs w:val="24"/>
                <w:vertAlign w:val="baseline"/>
                <w:lang w:val="en-US" w:eastAsia="zh-CN"/>
              </w:rPr>
            </w:pPr>
          </w:p>
        </w:tc>
        <w:tc>
          <w:tcPr>
            <w:tcW w:w="213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24h/t</w:t>
            </w:r>
          </w:p>
        </w:tc>
        <w:tc>
          <w:tcPr>
            <w:tcW w:w="2131"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正常</w:t>
            </w:r>
          </w:p>
        </w:tc>
      </w:tr>
    </w:tbl>
    <w:p>
      <w:pPr>
        <w:jc w:val="both"/>
        <w:rPr>
          <w:rFonts w:hint="eastAsia" w:ascii="仿宋" w:hAnsi="仿宋" w:eastAsia="仿宋" w:cs="仿宋"/>
          <w:sz w:val="32"/>
          <w:szCs w:val="32"/>
          <w:lang w:val="en-US" w:eastAsia="zh-CN"/>
        </w:rPr>
      </w:pPr>
    </w:p>
    <w:p>
      <w:pPr>
        <w:jc w:val="center"/>
        <w:rPr>
          <w:rFonts w:hint="eastAsia" w:ascii="微软雅黑" w:hAnsi="微软雅黑" w:eastAsia="微软雅黑" w:cs="微软雅黑"/>
          <w:sz w:val="32"/>
          <w:szCs w:val="32"/>
          <w:lang w:val="en-US" w:eastAsia="zh-CN"/>
        </w:rPr>
      </w:pPr>
    </w:p>
    <w:p>
      <w:pPr>
        <w:jc w:val="both"/>
        <w:rPr>
          <w:rFonts w:hint="eastAsia" w:ascii="微软雅黑" w:hAnsi="微软雅黑" w:eastAsia="微软雅黑" w:cs="微软雅黑"/>
          <w:sz w:val="32"/>
          <w:szCs w:val="32"/>
          <w:lang w:val="en-US" w:eastAsia="zh-CN"/>
        </w:rPr>
      </w:pPr>
    </w:p>
    <w:p>
      <w:p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环评及其它行政许可信息</w:t>
      </w:r>
    </w:p>
    <w:tbl>
      <w:tblPr>
        <w:tblStyle w:val="3"/>
        <w:tblW w:w="9386"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2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行政许可名称</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项目文件名称</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制作或审批单位</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项目环评报告</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江苏沂州煤焦化有限公司一期年产130万吨捣固焦及二期年产130万吨捣固焦生产线建设项目</w:t>
            </w:r>
          </w:p>
        </w:tc>
        <w:tc>
          <w:tcPr>
            <w:tcW w:w="1704"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江苏省环科咨询股份有限公司</w:t>
            </w: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因涉及商业机密和文件太大，需要者与单位联系，依申请提供复印件。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环评报告批复文件</w:t>
            </w:r>
          </w:p>
        </w:tc>
        <w:tc>
          <w:tcPr>
            <w:tcW w:w="2205"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关于江苏沂州煤焦化有限公司一期年产130万吨捣固焦及二期年产130万吨捣固焦生产线建设项目环境影响报告书的批复</w:t>
            </w:r>
          </w:p>
        </w:tc>
        <w:tc>
          <w:tcPr>
            <w:tcW w:w="1704"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徐环项书[2015]22号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治理设施验收意见</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关于江苏沂州煤焦化有限公司一期年产130万吨捣固焦及二期年产130万吨捣固焦生产线建设项目竣工环境保护验收意见的函</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徐环函[2017]32号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排污许可证</w:t>
            </w:r>
          </w:p>
        </w:tc>
        <w:tc>
          <w:tcPr>
            <w:tcW w:w="2205" w:type="dxa"/>
          </w:tcPr>
          <w:p>
            <w:pPr>
              <w:jc w:val="both"/>
              <w:rPr>
                <w:rFonts w:hint="eastAsia" w:ascii="仿宋" w:hAnsi="仿宋" w:eastAsia="仿宋" w:cs="仿宋"/>
                <w:sz w:val="24"/>
                <w:szCs w:val="24"/>
                <w:vertAlign w:val="baseline"/>
                <w:lang w:val="en-US" w:eastAsia="zh-CN"/>
              </w:rPr>
            </w:pPr>
          </w:p>
        </w:tc>
        <w:tc>
          <w:tcPr>
            <w:tcW w:w="1704"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需要者与单位联系，依申请提供复印件。</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3"/>
        <w:tblW w:w="9386"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2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行政许可名称</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项目文件名称</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制作或审批单位</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项目环评报告</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徐州沂州煤焦化有限公司15万吨/年甲醇联产项目（一期）</w:t>
            </w:r>
          </w:p>
        </w:tc>
        <w:tc>
          <w:tcPr>
            <w:tcW w:w="1704"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因涉及商业机密和文件太大，需要者与单位联系，依申请提供复印件。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环评报告批复文件</w:t>
            </w:r>
          </w:p>
        </w:tc>
        <w:tc>
          <w:tcPr>
            <w:tcW w:w="2205"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关于对徐州沂州煤焦化有限公司15万吨/年甲醇联产项目环境影响报告书的批复</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徐环发[2009]117号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治理设施验收意见</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关于徐州沂州煤焦化有限公司15万吨/年甲醇联产项目（一期）竣工环境保护验收意见的函</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徐环函[2017]22号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排污许可证</w:t>
            </w:r>
          </w:p>
        </w:tc>
        <w:tc>
          <w:tcPr>
            <w:tcW w:w="2205" w:type="dxa"/>
          </w:tcPr>
          <w:p>
            <w:pPr>
              <w:jc w:val="both"/>
              <w:rPr>
                <w:rFonts w:hint="eastAsia" w:ascii="仿宋" w:hAnsi="仿宋" w:eastAsia="仿宋" w:cs="仿宋"/>
                <w:sz w:val="24"/>
                <w:szCs w:val="24"/>
                <w:vertAlign w:val="baseline"/>
                <w:lang w:val="en-US" w:eastAsia="zh-CN"/>
              </w:rPr>
            </w:pPr>
          </w:p>
        </w:tc>
        <w:tc>
          <w:tcPr>
            <w:tcW w:w="1704"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需要者与单位联系，依申请提供复印件。</w:t>
            </w:r>
          </w:p>
        </w:tc>
      </w:tr>
    </w:tbl>
    <w:p>
      <w:pPr>
        <w:jc w:val="both"/>
        <w:rPr>
          <w:rFonts w:hint="eastAsia" w:ascii="仿宋" w:hAnsi="仿宋" w:eastAsia="仿宋" w:cs="仿宋"/>
          <w:sz w:val="32"/>
          <w:szCs w:val="32"/>
          <w:lang w:val="en-US" w:eastAsia="zh-CN"/>
        </w:rPr>
      </w:pPr>
    </w:p>
    <w:tbl>
      <w:tblPr>
        <w:tblStyle w:val="3"/>
        <w:tblW w:w="9386"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2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行政许可名称</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项目文件名称</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制作或审批单位</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项目环评报告</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江苏沂州煤焦化有限公司15万吨/年甲醇联产项目（二层期）</w:t>
            </w:r>
          </w:p>
        </w:tc>
        <w:tc>
          <w:tcPr>
            <w:tcW w:w="1704"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因涉及商业机密和文件太大，需要者与单位联系，依申请提供复印件。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环评报告批复文件</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关于对徐州沂州煤焦化有限公司15万吨/年甲醇联产项目环境影响报告书的批复</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徐环项书[2014]34号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治理设施验收意见</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关于江苏沂州煤焦化有限公司15万吨/年甲醇联产项目（二层期）竣工环境保护验收意见的函</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vAlign w:val="top"/>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徐环函[2017]23号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bl>
    <w:p/>
    <w:tbl>
      <w:tblPr>
        <w:tblStyle w:val="3"/>
        <w:tblW w:w="9386"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2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行政许可名称</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项目文件名称</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制作或审批单位</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项目环评报告</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江苏沂州煤焦化有限公司合成氨项目</w:t>
            </w:r>
          </w:p>
        </w:tc>
        <w:tc>
          <w:tcPr>
            <w:tcW w:w="1704"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因涉及商业机密和文件太大，需要者与单位联系，依申请提供复印件。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环评报告批复文件</w:t>
            </w:r>
          </w:p>
        </w:tc>
        <w:tc>
          <w:tcPr>
            <w:tcW w:w="2205"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关于对江苏沂州煤焦化有限公司合成氨项目环境影响报告书的批复</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徐环发[2012]52号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治理设施验收意见</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关于江苏沂州煤焦化有限公司合成氨项目竣工环境保护验收意见的函</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徐环函[2017]24号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bl>
    <w:p>
      <w:pPr>
        <w:jc w:val="both"/>
        <w:rPr>
          <w:rFonts w:hint="eastAsia" w:ascii="仿宋" w:hAnsi="仿宋" w:eastAsia="仿宋" w:cs="仿宋"/>
          <w:sz w:val="32"/>
          <w:szCs w:val="32"/>
          <w:lang w:val="en-US" w:eastAsia="zh-CN"/>
        </w:rPr>
      </w:pPr>
    </w:p>
    <w:tbl>
      <w:tblPr>
        <w:tblStyle w:val="3"/>
        <w:tblW w:w="9386"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2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行政许可名称</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项目文件名称</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制作或审批单位</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项目环评报告</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江苏沂州煤焦化有限公司余热发电项目</w:t>
            </w:r>
          </w:p>
        </w:tc>
        <w:tc>
          <w:tcPr>
            <w:tcW w:w="1704"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徐州市环境保护科学研究所</w:t>
            </w: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因涉及商业机密和文件太大，需要者与单位联系，依申请提供复印件。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环评报告批复文件</w:t>
            </w:r>
          </w:p>
        </w:tc>
        <w:tc>
          <w:tcPr>
            <w:tcW w:w="2205"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关于对江苏沂州煤焦化有限公司余热发电项目环境影响报告表的批复</w:t>
            </w:r>
          </w:p>
        </w:tc>
        <w:tc>
          <w:tcPr>
            <w:tcW w:w="1704"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邳环开项表[2014]6号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治理设施验收意见</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关于江苏沂州煤焦化有限公司余热发电项目</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邳环验[2018]9号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bl>
    <w:p>
      <w:pPr>
        <w:jc w:val="both"/>
        <w:rPr>
          <w:rFonts w:hint="eastAsia" w:ascii="仿宋" w:hAnsi="仿宋" w:eastAsia="仿宋" w:cs="仿宋"/>
          <w:sz w:val="32"/>
          <w:szCs w:val="32"/>
          <w:lang w:val="en-US" w:eastAsia="zh-CN"/>
        </w:rPr>
      </w:pPr>
    </w:p>
    <w:tbl>
      <w:tblPr>
        <w:tblStyle w:val="3"/>
        <w:tblW w:w="9386"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2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行政许可名称</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项目文件名称</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制作或审批单位</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项目环评报告</w:t>
            </w:r>
          </w:p>
        </w:tc>
        <w:tc>
          <w:tcPr>
            <w:tcW w:w="2205" w:type="dxa"/>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江苏沂州煤焦化有限公司1#～4#焦炉干熄焦技改项目</w:t>
            </w:r>
          </w:p>
        </w:tc>
        <w:tc>
          <w:tcPr>
            <w:tcW w:w="1704"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`江苏环保产业技术研究院股份有限公司</w:t>
            </w: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因涉及商业机密和文件太大，需要者与单位联系，依申请提供复印件。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环评报告批复文件</w:t>
            </w:r>
          </w:p>
        </w:tc>
        <w:tc>
          <w:tcPr>
            <w:tcW w:w="22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关于江苏沂州煤焦化有限公司1#～4#焦炉干熄焦技改项目的批复</w:t>
            </w:r>
          </w:p>
        </w:tc>
        <w:tc>
          <w:tcPr>
            <w:tcW w:w="1704"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邳州市环境保护局</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邳环项书[2018]3号</w:t>
            </w: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治理设施验收意见</w:t>
            </w:r>
          </w:p>
        </w:tc>
        <w:tc>
          <w:tcPr>
            <w:tcW w:w="2205" w:type="dxa"/>
          </w:tcPr>
          <w:p>
            <w:pPr>
              <w:jc w:val="both"/>
              <w:rPr>
                <w:rFonts w:hint="eastAsia" w:ascii="仿宋" w:hAnsi="仿宋" w:eastAsia="仿宋" w:cs="仿宋"/>
                <w:sz w:val="24"/>
                <w:szCs w:val="24"/>
                <w:vertAlign w:val="baseline"/>
                <w:lang w:val="en-US" w:eastAsia="zh-CN"/>
              </w:rPr>
            </w:pPr>
          </w:p>
        </w:tc>
        <w:tc>
          <w:tcPr>
            <w:tcW w:w="1704"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p>
        </w:tc>
        <w:tc>
          <w:tcPr>
            <w:tcW w:w="1705"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bl>
    <w:p>
      <w:pPr>
        <w:jc w:val="both"/>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环境突发事件应急信息</w:t>
      </w:r>
    </w:p>
    <w:tbl>
      <w:tblPr>
        <w:tblStyle w:val="3"/>
        <w:tblW w:w="9369" w:type="dxa"/>
        <w:tblInd w:w="-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3"/>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突发环境事件应急预案</w:t>
            </w:r>
          </w:p>
        </w:tc>
        <w:tc>
          <w:tcPr>
            <w:tcW w:w="5986"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已制定沂州科技有限公司《突发环境事件应急预案》，并于2017年12月18日在邳州生态环境局备案；编号;3203822017052H</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因文件太大，需要者与单位联系，依申请提供复印件。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环境风险评估情况</w:t>
            </w:r>
          </w:p>
        </w:tc>
        <w:tc>
          <w:tcPr>
            <w:tcW w:w="5986"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环境风险防范工作开展情况</w:t>
            </w:r>
          </w:p>
        </w:tc>
        <w:tc>
          <w:tcPr>
            <w:tcW w:w="598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企业已针对厂内环境风险单元，制定《突发环境事件应急预案》，确保事故发生时能快速有效的进行现场应急处理、处置，保护厂区及周边环境、居住区人民的生命、财产安全，防止突发性环境污染事故。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突发环境事件发生及处理情况</w:t>
            </w:r>
          </w:p>
        </w:tc>
        <w:tc>
          <w:tcPr>
            <w:tcW w:w="598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无突发环境事故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3"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整改落实要求情况</w:t>
            </w:r>
          </w:p>
        </w:tc>
        <w:tc>
          <w:tcPr>
            <w:tcW w:w="598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w:t>
            </w:r>
          </w:p>
        </w:tc>
      </w:tr>
    </w:tbl>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其他环境信息</w:t>
      </w:r>
    </w:p>
    <w:tbl>
      <w:tblPr>
        <w:tblStyle w:val="3"/>
        <w:tblW w:w="9666" w:type="dxa"/>
        <w:tblInd w:w="-9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参加环境污染责任保险情况</w:t>
            </w:r>
          </w:p>
        </w:tc>
        <w:tc>
          <w:tcPr>
            <w:tcW w:w="6150"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缴纳排污费（税）情况</w:t>
            </w:r>
          </w:p>
        </w:tc>
        <w:tc>
          <w:tcPr>
            <w:tcW w:w="6150"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履行社会责任情况</w:t>
            </w:r>
          </w:p>
        </w:tc>
        <w:tc>
          <w:tcPr>
            <w:tcW w:w="6150"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公司严格遵守环保法律法规，建立健全的劳动沟通机制，为员工提供发展、舒适健全的工作环境。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环保方针和年度环保目标及成效</w:t>
            </w:r>
          </w:p>
        </w:tc>
        <w:tc>
          <w:tcPr>
            <w:tcW w:w="6150"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环保投资和环境技术开发情况</w:t>
            </w:r>
          </w:p>
        </w:tc>
        <w:tc>
          <w:tcPr>
            <w:tcW w:w="6150"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废弃产品的回收利用情况</w:t>
            </w:r>
          </w:p>
        </w:tc>
        <w:tc>
          <w:tcPr>
            <w:tcW w:w="6150"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年度资源消耗总量</w:t>
            </w:r>
          </w:p>
        </w:tc>
        <w:tc>
          <w:tcPr>
            <w:tcW w:w="6150" w:type="dxa"/>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年度环境违法情况</w:t>
            </w:r>
          </w:p>
        </w:tc>
        <w:tc>
          <w:tcPr>
            <w:tcW w:w="6150"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6"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年度环境奖励情况</w:t>
            </w:r>
          </w:p>
        </w:tc>
        <w:tc>
          <w:tcPr>
            <w:tcW w:w="6150" w:type="dxa"/>
          </w:tcPr>
          <w:p>
            <w:pPr>
              <w:jc w:val="both"/>
              <w:rPr>
                <w:rFonts w:hint="eastAsia" w:ascii="仿宋" w:hAnsi="仿宋" w:eastAsia="仿宋" w:cs="仿宋"/>
                <w:sz w:val="24"/>
                <w:szCs w:val="24"/>
                <w:vertAlign w:val="baseline"/>
                <w:lang w:val="en-US" w:eastAsia="zh-CN"/>
              </w:rPr>
            </w:pP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E678A"/>
    <w:rsid w:val="1CBA1A17"/>
    <w:rsid w:val="20892ABE"/>
    <w:rsid w:val="34673CC1"/>
    <w:rsid w:val="3C3673FD"/>
    <w:rsid w:val="427E1134"/>
    <w:rsid w:val="44BA6C0F"/>
    <w:rsid w:val="6481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yuliang</dc:creator>
  <cp:lastModifiedBy>亮亮</cp:lastModifiedBy>
  <dcterms:modified xsi:type="dcterms:W3CDTF">2020-04-10T00:35:31Z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