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jc w:val="center"/>
        <w:rPr>
          <w:b/>
          <w:sz w:val="32"/>
          <w:szCs w:val="36"/>
        </w:rPr>
      </w:pPr>
    </w:p>
    <w:p>
      <w:pPr>
        <w:adjustRightInd w:val="0"/>
        <w:snapToGrid w:val="0"/>
        <w:spacing w:line="360" w:lineRule="auto"/>
        <w:jc w:val="center"/>
        <w:rPr>
          <w:b/>
          <w:sz w:val="32"/>
          <w:szCs w:val="36"/>
        </w:rPr>
      </w:pPr>
    </w:p>
    <w:p>
      <w:pPr>
        <w:adjustRightInd w:val="0"/>
        <w:snapToGrid w:val="0"/>
        <w:spacing w:line="360" w:lineRule="auto"/>
        <w:jc w:val="center"/>
        <w:rPr>
          <w:b/>
          <w:sz w:val="32"/>
          <w:szCs w:val="36"/>
        </w:rPr>
      </w:pPr>
    </w:p>
    <w:p>
      <w:pPr>
        <w:adjustRightInd w:val="0"/>
        <w:snapToGrid w:val="0"/>
        <w:spacing w:line="360" w:lineRule="auto"/>
        <w:jc w:val="both"/>
        <w:rPr>
          <w:rFonts w:hint="eastAsia" w:ascii="Times New Roman" w:hAnsi="Times New Roman" w:eastAsia="宋体" w:cs="Times New Roman"/>
          <w:b/>
          <w:sz w:val="44"/>
          <w:szCs w:val="36"/>
        </w:rPr>
      </w:pPr>
    </w:p>
    <w:p>
      <w:pPr>
        <w:adjustRightInd w:val="0"/>
        <w:snapToGrid w:val="0"/>
        <w:spacing w:line="360" w:lineRule="auto"/>
        <w:jc w:val="center"/>
        <w:rPr>
          <w:rFonts w:hint="default" w:ascii="Times New Roman" w:hAnsi="Times New Roman" w:eastAsia="宋体" w:cs="Times New Roman"/>
          <w:b/>
          <w:sz w:val="44"/>
          <w:szCs w:val="36"/>
          <w:lang w:val="en-US" w:eastAsia="zh-CN"/>
        </w:rPr>
      </w:pPr>
      <w:r>
        <w:rPr>
          <w:rFonts w:hint="default" w:ascii="Times New Roman" w:hAnsi="Times New Roman" w:eastAsia="宋体" w:cs="Times New Roman"/>
          <w:b/>
          <w:sz w:val="44"/>
          <w:szCs w:val="36"/>
        </w:rPr>
        <w:t>山东</w:t>
      </w:r>
      <w:r>
        <w:rPr>
          <w:rFonts w:hint="default" w:ascii="Times New Roman" w:hAnsi="Times New Roman" w:eastAsia="宋体" w:cs="Times New Roman"/>
          <w:b/>
          <w:sz w:val="44"/>
          <w:szCs w:val="36"/>
          <w:lang w:val="en-US" w:eastAsia="zh-CN"/>
        </w:rPr>
        <w:t>尚舜化工</w:t>
      </w:r>
      <w:r>
        <w:rPr>
          <w:rFonts w:hint="default" w:ascii="Times New Roman" w:hAnsi="Times New Roman" w:eastAsia="宋体" w:cs="Times New Roman"/>
          <w:b/>
          <w:sz w:val="44"/>
          <w:szCs w:val="36"/>
        </w:rPr>
        <w:t>有限公司</w:t>
      </w:r>
      <w:r>
        <w:rPr>
          <w:rFonts w:hint="eastAsia" w:ascii="Times New Roman" w:hAnsi="Times New Roman" w:eastAsia="宋体" w:cs="Times New Roman"/>
          <w:b/>
          <w:sz w:val="44"/>
          <w:szCs w:val="36"/>
        </w:rPr>
        <w:br w:type="textWrapping"/>
      </w:r>
      <w:r>
        <w:rPr>
          <w:rFonts w:hint="default" w:ascii="Times New Roman" w:hAnsi="Times New Roman" w:eastAsia="宋体" w:cs="Times New Roman"/>
          <w:b/>
          <w:sz w:val="44"/>
          <w:szCs w:val="36"/>
          <w:lang w:val="en-US" w:eastAsia="zh-CN"/>
        </w:rPr>
        <w:t>16000 吨/年 M、10000 吨/年 CBS、8000吨/年 DM、6000 吨/年 DPG、8000 吨/年DZ扩产项目</w:t>
      </w:r>
      <w:r>
        <w:rPr>
          <w:rFonts w:hint="eastAsia" w:cs="Times New Roman"/>
          <w:b/>
          <w:sz w:val="44"/>
          <w:szCs w:val="36"/>
          <w:lang w:val="en-US" w:eastAsia="zh-CN"/>
        </w:rPr>
        <w:t>和</w:t>
      </w:r>
      <w:bookmarkStart w:id="0" w:name="_GoBack"/>
      <w:bookmarkEnd w:id="0"/>
      <w:r>
        <w:rPr>
          <w:rFonts w:hint="default" w:ascii="Times New Roman" w:hAnsi="Times New Roman" w:eastAsia="宋体" w:cs="Times New Roman"/>
          <w:b/>
          <w:sz w:val="44"/>
          <w:szCs w:val="36"/>
          <w:lang w:val="en-US" w:eastAsia="zh-CN"/>
        </w:rPr>
        <w:t>8000 吨/年4010NA及28000吨/年 TBBS 扩产项目</w:t>
      </w:r>
    </w:p>
    <w:p>
      <w:pPr>
        <w:adjustRightInd w:val="0"/>
        <w:snapToGrid w:val="0"/>
        <w:spacing w:line="360" w:lineRule="auto"/>
        <w:jc w:val="center"/>
        <w:rPr>
          <w:b/>
          <w:sz w:val="44"/>
          <w:szCs w:val="36"/>
        </w:rPr>
      </w:pPr>
      <w:r>
        <w:rPr>
          <w:rFonts w:hint="eastAsia"/>
          <w:b/>
          <w:sz w:val="44"/>
          <w:szCs w:val="36"/>
        </w:rPr>
        <w:t>环境影响评价公众参与说明</w:t>
      </w:r>
    </w:p>
    <w:p>
      <w:pPr>
        <w:adjustRightInd w:val="0"/>
        <w:snapToGrid w:val="0"/>
        <w:spacing w:line="360" w:lineRule="auto"/>
        <w:jc w:val="center"/>
        <w:rPr>
          <w:b/>
          <w:sz w:val="36"/>
          <w:szCs w:val="36"/>
        </w:rPr>
      </w:pPr>
    </w:p>
    <w:p>
      <w:pPr>
        <w:adjustRightInd w:val="0"/>
        <w:snapToGrid w:val="0"/>
        <w:spacing w:line="360" w:lineRule="auto"/>
        <w:jc w:val="center"/>
        <w:rPr>
          <w:b/>
          <w:sz w:val="32"/>
          <w:szCs w:val="36"/>
        </w:rPr>
      </w:pPr>
    </w:p>
    <w:p>
      <w:pPr>
        <w:adjustRightInd w:val="0"/>
        <w:snapToGrid w:val="0"/>
        <w:spacing w:line="360" w:lineRule="auto"/>
        <w:jc w:val="center"/>
        <w:rPr>
          <w:b/>
          <w:sz w:val="32"/>
          <w:szCs w:val="36"/>
        </w:rPr>
      </w:pPr>
    </w:p>
    <w:p>
      <w:pPr>
        <w:adjustRightInd w:val="0"/>
        <w:snapToGrid w:val="0"/>
        <w:spacing w:line="360" w:lineRule="auto"/>
        <w:jc w:val="center"/>
        <w:rPr>
          <w:b/>
          <w:sz w:val="32"/>
          <w:szCs w:val="36"/>
        </w:rPr>
      </w:pPr>
    </w:p>
    <w:p>
      <w:pPr>
        <w:adjustRightInd w:val="0"/>
        <w:snapToGrid w:val="0"/>
        <w:spacing w:line="360" w:lineRule="auto"/>
        <w:jc w:val="center"/>
        <w:rPr>
          <w:b/>
          <w:sz w:val="32"/>
          <w:szCs w:val="36"/>
        </w:rPr>
      </w:pPr>
    </w:p>
    <w:p>
      <w:pPr>
        <w:adjustRightInd w:val="0"/>
        <w:snapToGrid w:val="0"/>
        <w:spacing w:line="360" w:lineRule="auto"/>
        <w:jc w:val="center"/>
        <w:rPr>
          <w:rFonts w:hint="eastAsia"/>
          <w:b/>
          <w:sz w:val="32"/>
          <w:szCs w:val="36"/>
        </w:rPr>
      </w:pPr>
      <w:r>
        <w:rPr>
          <w:rFonts w:hint="eastAsia"/>
          <w:b/>
          <w:sz w:val="32"/>
          <w:szCs w:val="36"/>
        </w:rPr>
        <w:t>山东尚舜化工有限公司</w:t>
      </w:r>
    </w:p>
    <w:p>
      <w:pPr>
        <w:adjustRightInd w:val="0"/>
        <w:snapToGrid w:val="0"/>
        <w:spacing w:line="360" w:lineRule="auto"/>
        <w:jc w:val="center"/>
        <w:rPr>
          <w:b/>
          <w:sz w:val="32"/>
          <w:szCs w:val="36"/>
        </w:rPr>
      </w:pPr>
      <w:r>
        <w:rPr>
          <w:rFonts w:hint="eastAsia"/>
          <w:b/>
          <w:sz w:val="32"/>
          <w:szCs w:val="36"/>
        </w:rPr>
        <w:t>202</w:t>
      </w:r>
      <w:r>
        <w:rPr>
          <w:rFonts w:hint="eastAsia"/>
          <w:b/>
          <w:sz w:val="32"/>
          <w:szCs w:val="36"/>
          <w:lang w:val="en-US" w:eastAsia="zh-CN"/>
        </w:rPr>
        <w:t>3</w:t>
      </w:r>
      <w:r>
        <w:rPr>
          <w:rFonts w:hint="eastAsia"/>
          <w:b/>
          <w:sz w:val="32"/>
          <w:szCs w:val="36"/>
        </w:rPr>
        <w:t>年3月</w:t>
      </w:r>
    </w:p>
    <w:p>
      <w:pPr>
        <w:adjustRightInd w:val="0"/>
        <w:snapToGrid w:val="0"/>
        <w:spacing w:line="360" w:lineRule="auto"/>
        <w:jc w:val="center"/>
        <w:rPr>
          <w:b/>
          <w:sz w:val="32"/>
          <w:szCs w:val="36"/>
        </w:rPr>
      </w:pPr>
    </w:p>
    <w:p>
      <w:pPr>
        <w:adjustRightInd w:val="0"/>
        <w:snapToGrid w:val="0"/>
        <w:spacing w:line="360" w:lineRule="auto"/>
        <w:jc w:val="center"/>
        <w:rPr>
          <w:b/>
          <w:sz w:val="32"/>
          <w:szCs w:val="36"/>
        </w:rPr>
      </w:pPr>
    </w:p>
    <w:p>
      <w:pPr>
        <w:adjustRightInd w:val="0"/>
        <w:snapToGrid w:val="0"/>
        <w:spacing w:line="360" w:lineRule="auto"/>
        <w:jc w:val="center"/>
        <w:rPr>
          <w:b/>
          <w:sz w:val="32"/>
          <w:szCs w:val="36"/>
        </w:rPr>
      </w:pPr>
    </w:p>
    <w:p>
      <w:pPr>
        <w:adjustRightInd w:val="0"/>
        <w:snapToGrid w:val="0"/>
        <w:spacing w:line="360" w:lineRule="auto"/>
        <w:jc w:val="center"/>
        <w:rPr>
          <w:b/>
          <w:sz w:val="32"/>
          <w:szCs w:val="36"/>
        </w:rPr>
      </w:pPr>
    </w:p>
    <w:p>
      <w:pPr>
        <w:adjustRightInd w:val="0"/>
        <w:snapToGrid w:val="0"/>
        <w:spacing w:line="360" w:lineRule="auto"/>
        <w:jc w:val="center"/>
        <w:rPr>
          <w:b/>
          <w:sz w:val="32"/>
          <w:szCs w:val="36"/>
        </w:rPr>
        <w:sectPr>
          <w:headerReference r:id="rId3" w:type="default"/>
          <w:footerReference r:id="rId4" w:type="even"/>
          <w:pgSz w:w="11906" w:h="16838"/>
          <w:pgMar w:top="1440" w:right="1800" w:bottom="1440" w:left="1800" w:header="851" w:footer="992" w:gutter="0"/>
          <w:cols w:space="425" w:num="1"/>
          <w:docGrid w:type="lines" w:linePitch="312" w:charSpace="0"/>
        </w:sectPr>
      </w:pPr>
    </w:p>
    <w:p>
      <w:pPr>
        <w:adjustRightInd w:val="0"/>
        <w:snapToGrid w:val="0"/>
        <w:spacing w:line="360" w:lineRule="auto"/>
        <w:jc w:val="center"/>
        <w:rPr>
          <w:rFonts w:hint="eastAsia"/>
          <w:b/>
          <w:sz w:val="32"/>
          <w:szCs w:val="36"/>
        </w:rPr>
      </w:pPr>
      <w:r>
        <w:rPr>
          <w:rFonts w:hint="eastAsia"/>
          <w:b/>
          <w:sz w:val="32"/>
          <w:szCs w:val="36"/>
        </w:rPr>
        <w:t>山东尚舜化工有限公司</w:t>
      </w:r>
    </w:p>
    <w:p>
      <w:pPr>
        <w:adjustRightInd w:val="0"/>
        <w:snapToGrid w:val="0"/>
        <w:spacing w:line="360" w:lineRule="auto"/>
        <w:jc w:val="center"/>
        <w:rPr>
          <w:rFonts w:hint="eastAsia"/>
          <w:b/>
          <w:sz w:val="32"/>
          <w:szCs w:val="36"/>
        </w:rPr>
      </w:pPr>
      <w:r>
        <w:rPr>
          <w:rFonts w:hint="eastAsia"/>
          <w:b/>
          <w:sz w:val="32"/>
          <w:szCs w:val="36"/>
        </w:rPr>
        <w:t>16000 吨/年 M、10000 吨/年 CBS、8000吨/年 DM、6000 吨/年 DPG、8000 吨/年DZ扩产项目</w:t>
      </w:r>
      <w:r>
        <w:rPr>
          <w:rFonts w:hint="eastAsia"/>
          <w:b/>
          <w:sz w:val="32"/>
          <w:szCs w:val="36"/>
          <w:lang w:val="en-US" w:eastAsia="zh-CN"/>
        </w:rPr>
        <w:t>和</w:t>
      </w:r>
      <w:r>
        <w:rPr>
          <w:rFonts w:hint="eastAsia"/>
          <w:b/>
          <w:sz w:val="32"/>
          <w:szCs w:val="36"/>
        </w:rPr>
        <w:t>8000 吨/年4010NA及28000吨/年 TBBS 扩产项目</w:t>
      </w:r>
    </w:p>
    <w:p>
      <w:pPr>
        <w:adjustRightInd w:val="0"/>
        <w:snapToGrid w:val="0"/>
        <w:spacing w:line="360" w:lineRule="auto"/>
        <w:jc w:val="center"/>
        <w:rPr>
          <w:b/>
          <w:sz w:val="32"/>
          <w:szCs w:val="36"/>
        </w:rPr>
      </w:pPr>
      <w:r>
        <w:rPr>
          <w:b/>
          <w:sz w:val="32"/>
          <w:szCs w:val="36"/>
        </w:rPr>
        <w:t>环境影响评价公众参与报告</w:t>
      </w:r>
    </w:p>
    <w:p>
      <w:pPr>
        <w:adjustRightInd w:val="0"/>
        <w:snapToGrid w:val="0"/>
        <w:spacing w:line="360" w:lineRule="auto"/>
        <w:outlineLvl w:val="0"/>
        <w:rPr>
          <w:b/>
          <w:sz w:val="28"/>
          <w:szCs w:val="28"/>
        </w:rPr>
      </w:pPr>
      <w:r>
        <w:rPr>
          <w:rFonts w:hint="eastAsia"/>
          <w:b/>
          <w:sz w:val="28"/>
          <w:szCs w:val="28"/>
        </w:rPr>
        <w:t>1 概述</w:t>
      </w:r>
    </w:p>
    <w:p>
      <w:pPr>
        <w:adjustRightInd w:val="0"/>
        <w:snapToGrid w:val="0"/>
        <w:spacing w:line="360" w:lineRule="auto"/>
        <w:ind w:firstLine="480" w:firstLineChars="200"/>
        <w:jc w:val="left"/>
        <w:rPr>
          <w:sz w:val="24"/>
        </w:rPr>
      </w:pPr>
      <w:r>
        <w:rPr>
          <w:sz w:val="24"/>
        </w:rPr>
        <w:t>公众参与是建设项目通过环评工作与公众之间进行的双向交流，其目的是让公众对本工程充分了解，给公众以表达他们意见的机会。通过公众的参与，辨析公众关注的问题，有利于化解不同矛盾，制定合理的环保措施，使建设项目能被公众充分认可，更有效地提高项目的环境和长远效益。</w:t>
      </w:r>
    </w:p>
    <w:p>
      <w:pPr>
        <w:adjustRightInd w:val="0"/>
        <w:snapToGrid w:val="0"/>
        <w:spacing w:line="360" w:lineRule="auto"/>
        <w:ind w:firstLine="480" w:firstLineChars="200"/>
        <w:rPr>
          <w:sz w:val="24"/>
        </w:rPr>
      </w:pPr>
      <w:r>
        <w:rPr>
          <w:sz w:val="24"/>
        </w:rPr>
        <w:t>《建设项目环境保护管理条例》（</w:t>
      </w:r>
      <w:r>
        <w:rPr>
          <w:rFonts w:hint="eastAsia"/>
          <w:sz w:val="24"/>
        </w:rPr>
        <w:t>2017.10.1</w:t>
      </w:r>
      <w:r>
        <w:rPr>
          <w:sz w:val="24"/>
        </w:rPr>
        <w:t>）第十</w:t>
      </w:r>
      <w:r>
        <w:rPr>
          <w:rFonts w:hint="eastAsia"/>
          <w:sz w:val="24"/>
        </w:rPr>
        <w:t>四</w:t>
      </w:r>
      <w:r>
        <w:rPr>
          <w:sz w:val="24"/>
        </w:rPr>
        <w:t>条规定：建设单位编制环境影响报告书，应当依据有关法规规定，征求建设项目所在地单位和居民的意见。《环境影响评价法》（</w:t>
      </w:r>
      <w:r>
        <w:rPr>
          <w:rFonts w:hint="eastAsia"/>
          <w:sz w:val="24"/>
        </w:rPr>
        <w:t>2016.9.1</w:t>
      </w:r>
      <w:r>
        <w:rPr>
          <w:sz w:val="24"/>
        </w:rPr>
        <w:t>）</w:t>
      </w:r>
      <w:r>
        <w:rPr>
          <w:rFonts w:hint="eastAsia"/>
          <w:sz w:val="24"/>
        </w:rPr>
        <w:t>和《环境影响评价公众参与办法（草案）》（2018.4.16）</w:t>
      </w:r>
      <w:r>
        <w:rPr>
          <w:sz w:val="24"/>
        </w:rPr>
        <w:t>中也提出了公众参与的具体要求。根据《建设项目环境影响评价技术导则 总纲》（HJ2.1-2016）规定，公众参与和环境影响评价文件编制工作分离，我单位按照《环境影响评价法》的要求，在环评单位的指导下，进行了本项目环评公众参与。</w:t>
      </w:r>
    </w:p>
    <w:p>
      <w:pPr>
        <w:adjustRightInd w:val="0"/>
        <w:snapToGrid w:val="0"/>
        <w:spacing w:line="360" w:lineRule="auto"/>
        <w:outlineLvl w:val="0"/>
        <w:rPr>
          <w:b/>
          <w:sz w:val="28"/>
          <w:szCs w:val="28"/>
        </w:rPr>
      </w:pPr>
      <w:r>
        <w:rPr>
          <w:rFonts w:hint="eastAsia"/>
          <w:b/>
          <w:sz w:val="28"/>
          <w:szCs w:val="28"/>
        </w:rPr>
        <w:t>2 首次环境影响评价信息公开情况</w:t>
      </w:r>
    </w:p>
    <w:p>
      <w:pPr>
        <w:adjustRightInd w:val="0"/>
        <w:snapToGrid w:val="0"/>
        <w:spacing w:line="360" w:lineRule="auto"/>
        <w:ind w:firstLine="480" w:firstLineChars="200"/>
        <w:rPr>
          <w:rFonts w:hint="eastAsia" w:ascii="Times New Roman" w:hAnsi="Times New Roman" w:eastAsia="宋体" w:cs="Times New Roman"/>
          <w:sz w:val="24"/>
        </w:rPr>
      </w:pPr>
      <w:r>
        <w:rPr>
          <w:rFonts w:hint="eastAsia" w:ascii="Times New Roman" w:hAnsi="Times New Roman" w:eastAsia="宋体" w:cs="Times New Roman"/>
          <w:sz w:val="24"/>
        </w:rPr>
        <w:t>本项目位于</w:t>
      </w:r>
      <w:r>
        <w:rPr>
          <w:rFonts w:hint="eastAsia" w:ascii="Times New Roman" w:hAnsi="Times New Roman" w:eastAsia="宋体" w:cs="Times New Roman"/>
          <w:sz w:val="24"/>
          <w:lang w:val="en-US" w:eastAsia="zh-CN"/>
        </w:rPr>
        <w:t>单县</w:t>
      </w:r>
      <w:r>
        <w:rPr>
          <w:rFonts w:hint="eastAsia" w:ascii="Times New Roman" w:hAnsi="Times New Roman" w:eastAsia="宋体" w:cs="Times New Roman"/>
          <w:sz w:val="24"/>
        </w:rPr>
        <w:t>化工</w:t>
      </w:r>
      <w:r>
        <w:rPr>
          <w:rFonts w:hint="eastAsia" w:ascii="Times New Roman" w:hAnsi="Times New Roman" w:eastAsia="宋体" w:cs="Times New Roman"/>
          <w:sz w:val="24"/>
          <w:lang w:val="en-US" w:eastAsia="zh-CN"/>
        </w:rPr>
        <w:t>园区</w:t>
      </w:r>
      <w:r>
        <w:rPr>
          <w:rFonts w:hint="eastAsia" w:ascii="Times New Roman" w:hAnsi="Times New Roman" w:eastAsia="宋体" w:cs="Times New Roman"/>
          <w:sz w:val="24"/>
        </w:rPr>
        <w:t>。《2017年12月22日，菏泽市环境保护局对《单县化工园区环境影响报告书》进行了审批，审批文号为：菏环审[2017]16号。根据《山东省人民政府办公厅关于公布第一批化工园区和专业化工园区名单的通知》（鲁政办字〔2018〕102号），</w:t>
      </w:r>
      <w:r>
        <w:rPr>
          <w:rFonts w:hint="eastAsia" w:ascii="Times New Roman" w:hAnsi="Times New Roman" w:eastAsia="宋体" w:cs="Times New Roman"/>
          <w:sz w:val="24"/>
          <w:lang w:val="en-US" w:eastAsia="zh-CN"/>
        </w:rPr>
        <w:t>单县</w:t>
      </w:r>
      <w:r>
        <w:rPr>
          <w:rFonts w:hint="eastAsia" w:ascii="Times New Roman" w:hAnsi="Times New Roman" w:eastAsia="宋体" w:cs="Times New Roman"/>
          <w:sz w:val="24"/>
        </w:rPr>
        <w:t>化工园区已认定为化工园区。</w:t>
      </w:r>
    </w:p>
    <w:p>
      <w:pPr>
        <w:adjustRightInd w:val="0"/>
        <w:snapToGrid w:val="0"/>
        <w:spacing w:line="360" w:lineRule="auto"/>
        <w:ind w:firstLine="480" w:firstLineChars="200"/>
        <w:rPr>
          <w:sz w:val="24"/>
        </w:rPr>
      </w:pPr>
      <w:r>
        <w:rPr>
          <w:rFonts w:hint="eastAsia"/>
          <w:sz w:val="24"/>
        </w:rPr>
        <w:t>根据《环境影响评价公众参与办法（草案）》（2018.4.16），对依法批准设立的产业园区内的建设项目，若该产业园区已依法开展了规划环境影响评价公众参与且该建设项目性质、规模等符合经生态环境主管部门组织审查通过的规划环境影响报告书和审查意见，建设单位开展建设项目环境影响评价公众参与时，可以按照以下方式予以简化：</w:t>
      </w:r>
    </w:p>
    <w:p>
      <w:pPr>
        <w:adjustRightInd w:val="0"/>
        <w:snapToGrid w:val="0"/>
        <w:spacing w:line="360" w:lineRule="auto"/>
        <w:ind w:firstLine="480" w:firstLineChars="200"/>
        <w:rPr>
          <w:sz w:val="24"/>
        </w:rPr>
      </w:pPr>
      <w:r>
        <w:rPr>
          <w:rFonts w:hint="eastAsia"/>
          <w:sz w:val="24"/>
        </w:rPr>
        <w:t>（一）免予开展本办法第九条规定的公开程序，相关应当公开的内容纳入本办法第十条规定的公开内容一并公开；</w:t>
      </w:r>
    </w:p>
    <w:p>
      <w:pPr>
        <w:adjustRightInd w:val="0"/>
        <w:snapToGrid w:val="0"/>
        <w:spacing w:line="360" w:lineRule="auto"/>
        <w:ind w:firstLine="480" w:firstLineChars="200"/>
        <w:rPr>
          <w:sz w:val="24"/>
        </w:rPr>
      </w:pPr>
      <w:r>
        <w:rPr>
          <w:rFonts w:hint="eastAsia"/>
          <w:sz w:val="24"/>
        </w:rPr>
        <w:t>（二）本办法第十条第二款和第十一条第一款规定的10个工作日的期限减为5个工作日；</w:t>
      </w:r>
    </w:p>
    <w:p>
      <w:pPr>
        <w:adjustRightInd w:val="0"/>
        <w:snapToGrid w:val="0"/>
        <w:spacing w:line="360" w:lineRule="auto"/>
        <w:ind w:firstLine="480" w:firstLineChars="200"/>
        <w:rPr>
          <w:sz w:val="24"/>
        </w:rPr>
      </w:pPr>
      <w:r>
        <w:rPr>
          <w:rFonts w:hint="eastAsia"/>
          <w:sz w:val="24"/>
        </w:rPr>
        <w:t>（三）免予采用本办法第十一条第一款第三项规定的张贴公告的方式。</w:t>
      </w:r>
    </w:p>
    <w:p>
      <w:pPr>
        <w:adjustRightInd w:val="0"/>
        <w:snapToGrid w:val="0"/>
        <w:spacing w:line="360" w:lineRule="auto"/>
        <w:ind w:firstLine="480" w:firstLineChars="200"/>
        <w:rPr>
          <w:sz w:val="24"/>
        </w:rPr>
      </w:pPr>
      <w:r>
        <w:rPr>
          <w:rFonts w:hint="eastAsia"/>
          <w:sz w:val="24"/>
        </w:rPr>
        <w:t>因此，本项目可以免于开展《环境影响评价公众参与办法（草案）》（2018.4.16）第九条规定的公开程序，相关应当公开的内容纳入征求意见稿公示的公开内容一并公开。</w:t>
      </w:r>
    </w:p>
    <w:p>
      <w:pPr>
        <w:adjustRightInd w:val="0"/>
        <w:snapToGrid w:val="0"/>
        <w:spacing w:line="360" w:lineRule="auto"/>
        <w:outlineLvl w:val="0"/>
        <w:rPr>
          <w:b/>
          <w:sz w:val="28"/>
          <w:szCs w:val="28"/>
        </w:rPr>
      </w:pPr>
      <w:r>
        <w:rPr>
          <w:rFonts w:hint="eastAsia"/>
          <w:b/>
          <w:sz w:val="28"/>
          <w:szCs w:val="28"/>
        </w:rPr>
        <w:t>3 征求意见稿公示情况</w:t>
      </w:r>
    </w:p>
    <w:p>
      <w:pPr>
        <w:adjustRightInd w:val="0"/>
        <w:snapToGrid w:val="0"/>
        <w:spacing w:line="360" w:lineRule="auto"/>
        <w:outlineLvl w:val="1"/>
        <w:rPr>
          <w:b/>
          <w:sz w:val="24"/>
        </w:rPr>
      </w:pPr>
      <w:r>
        <w:rPr>
          <w:rFonts w:hint="eastAsia"/>
          <w:b/>
          <w:sz w:val="24"/>
        </w:rPr>
        <w:t>3.</w:t>
      </w:r>
      <w:r>
        <w:rPr>
          <w:b/>
          <w:sz w:val="24"/>
        </w:rPr>
        <w:t>1</w:t>
      </w:r>
      <w:r>
        <w:rPr>
          <w:rFonts w:hint="eastAsia"/>
          <w:b/>
          <w:sz w:val="24"/>
        </w:rPr>
        <w:t xml:space="preserve"> 公开内容及日期</w:t>
      </w:r>
    </w:p>
    <w:p>
      <w:pPr>
        <w:adjustRightInd w:val="0"/>
        <w:snapToGrid w:val="0"/>
        <w:spacing w:line="360" w:lineRule="auto"/>
        <w:ind w:firstLine="480" w:firstLineChars="200"/>
        <w:rPr>
          <w:sz w:val="24"/>
        </w:rPr>
      </w:pPr>
      <w:r>
        <w:rPr>
          <w:rFonts w:hint="eastAsia"/>
          <w:sz w:val="24"/>
        </w:rPr>
        <w:t>本项目</w:t>
      </w:r>
      <w:r>
        <w:rPr>
          <w:sz w:val="24"/>
        </w:rPr>
        <w:t>于20</w:t>
      </w:r>
      <w:r>
        <w:rPr>
          <w:rFonts w:hint="eastAsia"/>
          <w:sz w:val="24"/>
        </w:rPr>
        <w:t>2</w:t>
      </w:r>
      <w:r>
        <w:rPr>
          <w:rFonts w:hint="eastAsia"/>
          <w:sz w:val="24"/>
          <w:lang w:val="en-US" w:eastAsia="zh-CN"/>
        </w:rPr>
        <w:t>3</w:t>
      </w:r>
      <w:r>
        <w:rPr>
          <w:sz w:val="24"/>
        </w:rPr>
        <w:t>年</w:t>
      </w:r>
      <w:r>
        <w:rPr>
          <w:rFonts w:hint="eastAsia"/>
          <w:sz w:val="24"/>
        </w:rPr>
        <w:t>1</w:t>
      </w:r>
      <w:r>
        <w:rPr>
          <w:sz w:val="24"/>
        </w:rPr>
        <w:t>月</w:t>
      </w:r>
      <w:r>
        <w:rPr>
          <w:rFonts w:hint="eastAsia"/>
          <w:sz w:val="24"/>
          <w:lang w:val="en-US" w:eastAsia="zh-CN"/>
        </w:rPr>
        <w:t>5</w:t>
      </w:r>
      <w:r>
        <w:rPr>
          <w:sz w:val="24"/>
        </w:rPr>
        <w:t>日进行</w:t>
      </w:r>
      <w:r>
        <w:rPr>
          <w:rFonts w:hint="eastAsia"/>
          <w:sz w:val="24"/>
        </w:rPr>
        <w:t>了环境影响报告书征求意见稿公示，征求与本项目环境影响有关的意见</w:t>
      </w:r>
      <w:r>
        <w:rPr>
          <w:sz w:val="24"/>
        </w:rPr>
        <w:t>。公</w:t>
      </w:r>
      <w:r>
        <w:rPr>
          <w:rFonts w:hint="eastAsia"/>
          <w:sz w:val="24"/>
        </w:rPr>
        <w:t>示</w:t>
      </w:r>
      <w:r>
        <w:rPr>
          <w:sz w:val="24"/>
        </w:rPr>
        <w:t>内容包括：</w:t>
      </w:r>
    </w:p>
    <w:p>
      <w:pPr>
        <w:adjustRightInd w:val="0"/>
        <w:snapToGrid w:val="0"/>
        <w:spacing w:line="360" w:lineRule="auto"/>
        <w:ind w:firstLine="420"/>
        <w:rPr>
          <w:sz w:val="24"/>
        </w:rPr>
      </w:pPr>
      <w:r>
        <w:rPr>
          <w:rFonts w:hint="eastAsia"/>
          <w:sz w:val="24"/>
        </w:rPr>
        <w:t>（1）建设项目名称、选址选线、建设内容等基本情况，改建、扩建、迁建项目应当说明现有工程及其环境保护情况；</w:t>
      </w:r>
    </w:p>
    <w:p>
      <w:pPr>
        <w:adjustRightInd w:val="0"/>
        <w:snapToGrid w:val="0"/>
        <w:spacing w:line="360" w:lineRule="auto"/>
        <w:ind w:firstLine="420"/>
        <w:rPr>
          <w:sz w:val="24"/>
        </w:rPr>
      </w:pPr>
      <w:r>
        <w:rPr>
          <w:rFonts w:hint="eastAsia"/>
          <w:sz w:val="24"/>
        </w:rPr>
        <w:t>（2）建设单位名称和联系方式；</w:t>
      </w:r>
    </w:p>
    <w:p>
      <w:pPr>
        <w:adjustRightInd w:val="0"/>
        <w:snapToGrid w:val="0"/>
        <w:spacing w:line="360" w:lineRule="auto"/>
        <w:ind w:firstLine="420"/>
        <w:rPr>
          <w:sz w:val="24"/>
        </w:rPr>
      </w:pPr>
      <w:r>
        <w:rPr>
          <w:rFonts w:hint="eastAsia"/>
          <w:sz w:val="24"/>
        </w:rPr>
        <w:t>（3）环境影响报告书编制单位的名称；</w:t>
      </w:r>
    </w:p>
    <w:p>
      <w:pPr>
        <w:adjustRightInd w:val="0"/>
        <w:snapToGrid w:val="0"/>
        <w:spacing w:line="360" w:lineRule="auto"/>
        <w:ind w:firstLine="420"/>
        <w:rPr>
          <w:sz w:val="24"/>
        </w:rPr>
      </w:pPr>
      <w:r>
        <w:rPr>
          <w:sz w:val="24"/>
        </w:rPr>
        <w:t>（</w:t>
      </w:r>
      <w:r>
        <w:rPr>
          <w:rFonts w:hint="eastAsia"/>
          <w:sz w:val="24"/>
        </w:rPr>
        <w:t>4</w:t>
      </w:r>
      <w:r>
        <w:rPr>
          <w:sz w:val="24"/>
        </w:rPr>
        <w:t>）</w:t>
      </w:r>
      <w:r>
        <w:rPr>
          <w:rFonts w:hint="eastAsia"/>
          <w:sz w:val="24"/>
        </w:rPr>
        <w:t>环境影响报告书征求意见稿全文的网络链接及查阅纸质报告书的方式和途径；</w:t>
      </w:r>
    </w:p>
    <w:p>
      <w:pPr>
        <w:adjustRightInd w:val="0"/>
        <w:snapToGrid w:val="0"/>
        <w:spacing w:line="360" w:lineRule="auto"/>
        <w:ind w:firstLine="420"/>
        <w:rPr>
          <w:sz w:val="24"/>
        </w:rPr>
      </w:pPr>
      <w:r>
        <w:rPr>
          <w:sz w:val="24"/>
        </w:rPr>
        <w:t>（</w:t>
      </w:r>
      <w:r>
        <w:rPr>
          <w:rFonts w:hint="eastAsia"/>
          <w:sz w:val="24"/>
        </w:rPr>
        <w:t>5</w:t>
      </w:r>
      <w:r>
        <w:rPr>
          <w:sz w:val="24"/>
        </w:rPr>
        <w:t>）</w:t>
      </w:r>
      <w:r>
        <w:rPr>
          <w:rFonts w:hint="eastAsia"/>
          <w:sz w:val="24"/>
        </w:rPr>
        <w:t>征求意见的公众范围</w:t>
      </w:r>
      <w:r>
        <w:rPr>
          <w:sz w:val="24"/>
        </w:rPr>
        <w:t>；</w:t>
      </w:r>
    </w:p>
    <w:p>
      <w:pPr>
        <w:adjustRightInd w:val="0"/>
        <w:snapToGrid w:val="0"/>
        <w:spacing w:line="360" w:lineRule="auto"/>
        <w:ind w:firstLine="420"/>
        <w:rPr>
          <w:sz w:val="24"/>
        </w:rPr>
      </w:pPr>
      <w:r>
        <w:rPr>
          <w:sz w:val="24"/>
        </w:rPr>
        <w:t>（</w:t>
      </w:r>
      <w:r>
        <w:rPr>
          <w:rFonts w:hint="eastAsia"/>
          <w:sz w:val="24"/>
        </w:rPr>
        <w:t>6</w:t>
      </w:r>
      <w:r>
        <w:rPr>
          <w:sz w:val="24"/>
        </w:rPr>
        <w:t>）</w:t>
      </w:r>
      <w:r>
        <w:rPr>
          <w:rFonts w:hint="eastAsia"/>
          <w:sz w:val="24"/>
        </w:rPr>
        <w:t>公众意见表的网络链接</w:t>
      </w:r>
      <w:r>
        <w:rPr>
          <w:sz w:val="24"/>
        </w:rPr>
        <w:t>；</w:t>
      </w:r>
    </w:p>
    <w:p>
      <w:pPr>
        <w:adjustRightInd w:val="0"/>
        <w:snapToGrid w:val="0"/>
        <w:spacing w:line="360" w:lineRule="auto"/>
        <w:ind w:firstLine="420"/>
        <w:rPr>
          <w:sz w:val="24"/>
        </w:rPr>
      </w:pPr>
      <w:r>
        <w:rPr>
          <w:sz w:val="24"/>
        </w:rPr>
        <w:t>（</w:t>
      </w:r>
      <w:r>
        <w:rPr>
          <w:rFonts w:hint="eastAsia"/>
          <w:sz w:val="24"/>
        </w:rPr>
        <w:t>7</w:t>
      </w:r>
      <w:r>
        <w:rPr>
          <w:sz w:val="24"/>
        </w:rPr>
        <w:t>）</w:t>
      </w:r>
      <w:r>
        <w:rPr>
          <w:rFonts w:hint="eastAsia"/>
          <w:sz w:val="24"/>
        </w:rPr>
        <w:t>公众提出意见的方式、途径、起止时间</w:t>
      </w:r>
      <w:r>
        <w:rPr>
          <w:sz w:val="24"/>
        </w:rPr>
        <w:t>。</w:t>
      </w:r>
    </w:p>
    <w:p>
      <w:pPr>
        <w:adjustRightInd w:val="0"/>
        <w:snapToGrid w:val="0"/>
        <w:spacing w:line="360" w:lineRule="auto"/>
        <w:ind w:firstLine="480" w:firstLineChars="200"/>
        <w:rPr>
          <w:sz w:val="24"/>
        </w:rPr>
      </w:pPr>
      <w:r>
        <w:rPr>
          <w:rFonts w:hint="eastAsia"/>
          <w:sz w:val="24"/>
        </w:rPr>
        <w:t>根据《环境影响评价公众参与办法》，建设项目环境影响报告书征求意见稿形成后，建设单位应当进行公开，征求公众意见的期限不得少于10个工作日；位于符合第三十一条园区的项目，期限减为5个工作日，免予采用第十一条第一款第三项规定的张贴公告的方式。本项目在环境影响报告书主要内容基本完成时，公开了环境影响报告书征求意见稿，公示网站为建设项目</w:t>
      </w:r>
      <w:r>
        <w:rPr>
          <w:rFonts w:hint="eastAsia"/>
          <w:sz w:val="24"/>
          <w:lang w:val="en-US" w:eastAsia="zh-CN"/>
        </w:rPr>
        <w:t>公司网站</w:t>
      </w:r>
      <w:r>
        <w:rPr>
          <w:rFonts w:hint="eastAsia"/>
          <w:sz w:val="24"/>
        </w:rPr>
        <w:t>，持续时间为5个工作日。</w:t>
      </w:r>
    </w:p>
    <w:p>
      <w:pPr>
        <w:adjustRightInd w:val="0"/>
        <w:snapToGrid w:val="0"/>
        <w:spacing w:line="360" w:lineRule="auto"/>
        <w:outlineLvl w:val="1"/>
        <w:rPr>
          <w:b/>
          <w:sz w:val="24"/>
        </w:rPr>
      </w:pPr>
      <w:r>
        <w:rPr>
          <w:rFonts w:hint="eastAsia"/>
          <w:b/>
          <w:sz w:val="24"/>
        </w:rPr>
        <w:t>3.2 公示方式</w:t>
      </w:r>
    </w:p>
    <w:p>
      <w:pPr>
        <w:adjustRightInd w:val="0"/>
        <w:snapToGrid w:val="0"/>
        <w:spacing w:line="360" w:lineRule="auto"/>
        <w:rPr>
          <w:b/>
          <w:sz w:val="24"/>
        </w:rPr>
      </w:pPr>
      <w:r>
        <w:rPr>
          <w:rFonts w:hint="eastAsia"/>
          <w:b/>
          <w:sz w:val="24"/>
        </w:rPr>
        <w:t>3.2.1 网络</w:t>
      </w:r>
    </w:p>
    <w:p>
      <w:pPr>
        <w:adjustRightInd w:val="0"/>
        <w:snapToGrid w:val="0"/>
        <w:spacing w:line="360" w:lineRule="auto"/>
        <w:ind w:firstLine="420"/>
        <w:rPr>
          <w:sz w:val="24"/>
        </w:rPr>
      </w:pPr>
      <w:r>
        <w:rPr>
          <w:rFonts w:hint="eastAsia"/>
          <w:sz w:val="24"/>
        </w:rPr>
        <w:t>本项目</w:t>
      </w:r>
      <w:r>
        <w:rPr>
          <w:sz w:val="24"/>
        </w:rPr>
        <w:t>于20</w:t>
      </w:r>
      <w:r>
        <w:rPr>
          <w:rFonts w:hint="eastAsia"/>
          <w:sz w:val="24"/>
        </w:rPr>
        <w:t>2</w:t>
      </w:r>
      <w:r>
        <w:rPr>
          <w:rFonts w:hint="eastAsia"/>
          <w:sz w:val="24"/>
          <w:lang w:val="en-US" w:eastAsia="zh-CN"/>
        </w:rPr>
        <w:t>3</w:t>
      </w:r>
      <w:r>
        <w:rPr>
          <w:sz w:val="24"/>
        </w:rPr>
        <w:t>年</w:t>
      </w:r>
      <w:r>
        <w:rPr>
          <w:rFonts w:hint="eastAsia"/>
          <w:sz w:val="24"/>
        </w:rPr>
        <w:t>1</w:t>
      </w:r>
      <w:r>
        <w:rPr>
          <w:sz w:val="24"/>
        </w:rPr>
        <w:t>月</w:t>
      </w:r>
      <w:r>
        <w:rPr>
          <w:rFonts w:hint="eastAsia"/>
          <w:sz w:val="24"/>
          <w:lang w:val="en-US" w:eastAsia="zh-CN"/>
        </w:rPr>
        <w:t>5</w:t>
      </w:r>
      <w:r>
        <w:rPr>
          <w:sz w:val="24"/>
        </w:rPr>
        <w:t>日在</w:t>
      </w:r>
      <w:r>
        <w:rPr>
          <w:rFonts w:hint="eastAsia"/>
          <w:sz w:val="24"/>
        </w:rPr>
        <w:t>网络平台</w:t>
      </w:r>
      <w:r>
        <w:rPr>
          <w:sz w:val="24"/>
        </w:rPr>
        <w:t>上公示</w:t>
      </w:r>
      <w:r>
        <w:rPr>
          <w:rFonts w:hint="eastAsia"/>
          <w:sz w:val="24"/>
        </w:rPr>
        <w:t>了环境影响报告书征求意见稿。根据《环境影响评价公众参与办法》（生态环境部令第4号），网络平台包括建设单位网站、建设项目所在地公共媒体网站或者建设项目所在地相关政府网站。本项目公示网站为建设项目</w:t>
      </w:r>
      <w:r>
        <w:rPr>
          <w:rFonts w:hint="eastAsia"/>
          <w:sz w:val="24"/>
          <w:lang w:val="en-US" w:eastAsia="zh-CN"/>
        </w:rPr>
        <w:t>公司网站</w:t>
      </w:r>
      <w:r>
        <w:rPr>
          <w:rFonts w:hint="eastAsia"/>
          <w:sz w:val="24"/>
        </w:rPr>
        <w:t>，符合要求。公示网址、时间、截图见</w:t>
      </w:r>
      <w:r>
        <w:rPr>
          <w:rFonts w:hint="eastAsia"/>
          <w:b/>
          <w:sz w:val="24"/>
        </w:rPr>
        <w:t>附件2</w:t>
      </w:r>
      <w:r>
        <w:rPr>
          <w:rFonts w:hint="eastAsia"/>
          <w:sz w:val="24"/>
        </w:rPr>
        <w:t>。</w:t>
      </w:r>
    </w:p>
    <w:p>
      <w:pPr>
        <w:adjustRightInd w:val="0"/>
        <w:snapToGrid w:val="0"/>
        <w:spacing w:line="360" w:lineRule="auto"/>
        <w:rPr>
          <w:b/>
          <w:sz w:val="24"/>
        </w:rPr>
      </w:pPr>
      <w:r>
        <w:rPr>
          <w:rFonts w:hint="eastAsia"/>
          <w:b/>
          <w:sz w:val="24"/>
        </w:rPr>
        <w:t>3.2.2 报纸公告</w:t>
      </w:r>
    </w:p>
    <w:p>
      <w:pPr>
        <w:adjustRightInd w:val="0"/>
        <w:snapToGrid w:val="0"/>
        <w:spacing w:line="360" w:lineRule="auto"/>
        <w:ind w:firstLine="480" w:firstLineChars="200"/>
        <w:rPr>
          <w:b/>
          <w:sz w:val="24"/>
        </w:rPr>
      </w:pPr>
      <w:r>
        <w:rPr>
          <w:rFonts w:hint="eastAsia"/>
          <w:sz w:val="24"/>
        </w:rPr>
        <w:t>本项目于202</w:t>
      </w:r>
      <w:r>
        <w:rPr>
          <w:rFonts w:hint="eastAsia"/>
          <w:sz w:val="24"/>
          <w:lang w:val="en-US" w:eastAsia="zh-CN"/>
        </w:rPr>
        <w:t>3</w:t>
      </w:r>
      <w:r>
        <w:rPr>
          <w:rFonts w:hint="eastAsia"/>
          <w:sz w:val="24"/>
        </w:rPr>
        <w:t>年</w:t>
      </w:r>
      <w:r>
        <w:rPr>
          <w:rFonts w:hint="eastAsia"/>
          <w:sz w:val="24"/>
          <w:lang w:val="en-US" w:eastAsia="zh-CN"/>
        </w:rPr>
        <w:t>1</w:t>
      </w:r>
      <w:r>
        <w:rPr>
          <w:rFonts w:hint="eastAsia"/>
          <w:sz w:val="24"/>
        </w:rPr>
        <w:t>月</w:t>
      </w:r>
      <w:r>
        <w:rPr>
          <w:rFonts w:hint="eastAsia"/>
          <w:sz w:val="24"/>
          <w:lang w:val="en-US" w:eastAsia="zh-CN"/>
        </w:rPr>
        <w:t>6</w:t>
      </w:r>
      <w:r>
        <w:rPr>
          <w:rFonts w:hint="eastAsia"/>
          <w:sz w:val="24"/>
        </w:rPr>
        <w:t>日、202</w:t>
      </w:r>
      <w:r>
        <w:rPr>
          <w:rFonts w:hint="eastAsia"/>
          <w:sz w:val="24"/>
          <w:lang w:val="en-US" w:eastAsia="zh-CN"/>
        </w:rPr>
        <w:t>3</w:t>
      </w:r>
      <w:r>
        <w:rPr>
          <w:rFonts w:hint="eastAsia"/>
          <w:sz w:val="24"/>
        </w:rPr>
        <w:t>年1月</w:t>
      </w:r>
      <w:r>
        <w:rPr>
          <w:rFonts w:hint="eastAsia"/>
          <w:sz w:val="24"/>
          <w:lang w:val="en-US" w:eastAsia="zh-CN"/>
        </w:rPr>
        <w:t>9</w:t>
      </w:r>
      <w:r>
        <w:rPr>
          <w:rFonts w:hint="eastAsia"/>
          <w:sz w:val="24"/>
        </w:rPr>
        <w:t>日，在山东省</w:t>
      </w:r>
      <w:r>
        <w:rPr>
          <w:rFonts w:hint="eastAsia"/>
          <w:sz w:val="24"/>
          <w:lang w:val="en-US" w:eastAsia="zh-CN"/>
        </w:rPr>
        <w:t>总工会</w:t>
      </w:r>
      <w:r>
        <w:rPr>
          <w:rFonts w:hint="eastAsia"/>
          <w:sz w:val="24"/>
        </w:rPr>
        <w:t>主办的报纸《</w:t>
      </w:r>
      <w:r>
        <w:rPr>
          <w:rFonts w:hint="eastAsia"/>
          <w:sz w:val="24"/>
          <w:lang w:val="en-US" w:eastAsia="zh-CN"/>
        </w:rPr>
        <w:t>山东工人报</w:t>
      </w:r>
      <w:r>
        <w:rPr>
          <w:rFonts w:hint="eastAsia"/>
          <w:sz w:val="24"/>
        </w:rPr>
        <w:t>》进行了2次公示，报纸公示的情况见</w:t>
      </w:r>
      <w:r>
        <w:rPr>
          <w:rFonts w:hint="eastAsia"/>
          <w:b/>
          <w:sz w:val="24"/>
        </w:rPr>
        <w:t>附件3</w:t>
      </w:r>
      <w:r>
        <w:rPr>
          <w:rFonts w:hint="eastAsia"/>
          <w:sz w:val="24"/>
        </w:rPr>
        <w:t>。</w:t>
      </w:r>
    </w:p>
    <w:p>
      <w:pPr>
        <w:adjustRightInd w:val="0"/>
        <w:snapToGrid w:val="0"/>
        <w:spacing w:line="360" w:lineRule="auto"/>
        <w:outlineLvl w:val="1"/>
        <w:rPr>
          <w:b/>
          <w:sz w:val="24"/>
        </w:rPr>
      </w:pPr>
      <w:r>
        <w:rPr>
          <w:rFonts w:hint="eastAsia"/>
          <w:b/>
          <w:sz w:val="24"/>
        </w:rPr>
        <w:t>3.3 查阅情况</w:t>
      </w:r>
    </w:p>
    <w:p>
      <w:pPr>
        <w:adjustRightInd w:val="0"/>
        <w:snapToGrid w:val="0"/>
        <w:spacing w:line="360" w:lineRule="auto"/>
        <w:ind w:firstLine="480" w:firstLineChars="200"/>
        <w:rPr>
          <w:b/>
          <w:sz w:val="24"/>
        </w:rPr>
      </w:pPr>
      <w:r>
        <w:rPr>
          <w:rFonts w:hint="eastAsia"/>
          <w:sz w:val="24"/>
        </w:rPr>
        <w:t>环境影响报告书征求意见稿存放于公司档案室，为公众提供相关资料的查询、查阅服务，公示期间有人咨询，但无人进行查阅。</w:t>
      </w:r>
    </w:p>
    <w:p>
      <w:pPr>
        <w:adjustRightInd w:val="0"/>
        <w:snapToGrid w:val="0"/>
        <w:spacing w:line="360" w:lineRule="auto"/>
        <w:outlineLvl w:val="1"/>
        <w:rPr>
          <w:b/>
          <w:sz w:val="24"/>
        </w:rPr>
      </w:pPr>
      <w:r>
        <w:rPr>
          <w:rFonts w:hint="eastAsia"/>
          <w:b/>
          <w:sz w:val="24"/>
        </w:rPr>
        <w:t>3.4 公众意见情况</w:t>
      </w:r>
    </w:p>
    <w:p>
      <w:pPr>
        <w:adjustRightInd w:val="0"/>
        <w:snapToGrid w:val="0"/>
        <w:spacing w:line="360" w:lineRule="auto"/>
        <w:ind w:firstLine="480" w:firstLineChars="200"/>
        <w:rPr>
          <w:b/>
          <w:sz w:val="28"/>
          <w:szCs w:val="28"/>
        </w:rPr>
      </w:pPr>
      <w:r>
        <w:rPr>
          <w:rFonts w:hint="eastAsia"/>
          <w:sz w:val="24"/>
        </w:rPr>
        <w:t>公示期间无人提出意见或建议。可以认为，被调查者均表示支持该项目的建设。</w:t>
      </w:r>
    </w:p>
    <w:p>
      <w:pPr>
        <w:adjustRightInd w:val="0"/>
        <w:snapToGrid w:val="0"/>
        <w:spacing w:line="360" w:lineRule="auto"/>
        <w:rPr>
          <w:b/>
          <w:sz w:val="28"/>
          <w:szCs w:val="28"/>
        </w:rPr>
      </w:pPr>
      <w:r>
        <w:rPr>
          <w:b/>
          <w:sz w:val="28"/>
          <w:szCs w:val="28"/>
        </w:rPr>
        <w:br w:type="page"/>
      </w:r>
      <w:r>
        <w:rPr>
          <w:b/>
          <w:sz w:val="28"/>
          <w:szCs w:val="28"/>
        </w:rPr>
        <w:t>附件</w:t>
      </w:r>
    </w:p>
    <w:p>
      <w:pPr>
        <w:pStyle w:val="2"/>
        <w:tabs>
          <w:tab w:val="clear" w:pos="4648"/>
        </w:tabs>
        <w:adjustRightInd w:val="0"/>
        <w:snapToGrid w:val="0"/>
        <w:ind w:firstLine="495" w:firstLineChars="0"/>
        <w:rPr>
          <w:szCs w:val="24"/>
        </w:rPr>
      </w:pPr>
      <w:r>
        <w:t>附件</w:t>
      </w:r>
      <w:r>
        <w:rPr>
          <w:rFonts w:hint="eastAsia"/>
        </w:rPr>
        <w:t>1：环境影响报告书征求意见稿公示（网页）</w:t>
      </w:r>
    </w:p>
    <w:p>
      <w:pPr>
        <w:pStyle w:val="2"/>
        <w:tabs>
          <w:tab w:val="clear" w:pos="4648"/>
        </w:tabs>
        <w:adjustRightInd w:val="0"/>
        <w:snapToGrid w:val="0"/>
        <w:ind w:firstLine="495" w:firstLineChars="0"/>
      </w:pPr>
      <w:r>
        <w:t>附件</w:t>
      </w:r>
      <w:r>
        <w:rPr>
          <w:rFonts w:hint="eastAsia"/>
        </w:rPr>
        <w:t>2：环境影响报告书征求意见稿公示（报纸）</w:t>
      </w:r>
      <w:r>
        <w:t xml:space="preserve"> </w:t>
      </w:r>
    </w:p>
    <w:p>
      <w:pPr>
        <w:pStyle w:val="2"/>
        <w:tabs>
          <w:tab w:val="clear" w:pos="4648"/>
        </w:tabs>
        <w:adjustRightInd w:val="0"/>
        <w:snapToGrid w:val="0"/>
        <w:ind w:firstLine="495" w:firstLineChars="0"/>
      </w:pPr>
    </w:p>
    <w:p>
      <w:pPr>
        <w:adjustRightInd w:val="0"/>
        <w:snapToGrid w:val="0"/>
        <w:spacing w:line="360" w:lineRule="auto"/>
        <w:sectPr>
          <w:headerReference r:id="rId5" w:type="default"/>
          <w:footerReference r:id="rId6" w:type="default"/>
          <w:pgSz w:w="11906" w:h="16838"/>
          <w:pgMar w:top="1440" w:right="1800" w:bottom="1440" w:left="1800" w:header="851" w:footer="992" w:gutter="0"/>
          <w:pgNumType w:start="1"/>
          <w:cols w:space="425" w:num="1"/>
          <w:docGrid w:type="lines" w:linePitch="312" w:charSpace="0"/>
        </w:sectPr>
      </w:pPr>
    </w:p>
    <w:p>
      <w:pPr>
        <w:adjustRightInd w:val="0"/>
        <w:snapToGrid w:val="0"/>
        <w:spacing w:line="360" w:lineRule="auto"/>
        <w:rPr>
          <w:b/>
          <w:sz w:val="24"/>
        </w:rPr>
      </w:pPr>
      <w:r>
        <w:rPr>
          <w:b/>
          <w:sz w:val="24"/>
        </w:rPr>
        <w:t>附件</w:t>
      </w:r>
      <w:r>
        <w:rPr>
          <w:rFonts w:hint="eastAsia"/>
          <w:b/>
          <w:sz w:val="24"/>
        </w:rPr>
        <w:t>1</w:t>
      </w:r>
      <w:r>
        <w:rPr>
          <w:b/>
          <w:sz w:val="24"/>
        </w:rPr>
        <w:t>：</w:t>
      </w:r>
      <w:r>
        <w:rPr>
          <w:rFonts w:hint="eastAsia"/>
          <w:b/>
          <w:sz w:val="24"/>
        </w:rPr>
        <w:t>环境影响评价公众参与环境影响报告书征求意见稿公示（网页）</w:t>
      </w:r>
    </w:p>
    <w:p>
      <w:pPr>
        <w:adjustRightInd w:val="0"/>
        <w:snapToGrid w:val="0"/>
        <w:spacing w:line="360" w:lineRule="auto"/>
        <w:jc w:val="center"/>
        <w:rPr>
          <w:sz w:val="24"/>
        </w:rPr>
      </w:pPr>
      <w:r>
        <w:rPr>
          <w:rFonts w:hint="eastAsia"/>
        </w:rPr>
        <w:t>https://www.sunsine.com/</w:t>
      </w:r>
    </w:p>
    <w:p>
      <w:pPr>
        <w:adjustRightInd w:val="0"/>
        <w:snapToGrid w:val="0"/>
        <w:spacing w:line="360" w:lineRule="auto"/>
        <w:jc w:val="center"/>
        <w:rPr>
          <w:rFonts w:hint="eastAsia" w:eastAsia="宋体"/>
          <w:sz w:val="24"/>
          <w:lang w:eastAsia="zh-CN"/>
        </w:rPr>
      </w:pPr>
      <w:r>
        <w:rPr>
          <w:rFonts w:hint="eastAsia" w:eastAsia="宋体"/>
          <w:sz w:val="24"/>
          <w:lang w:eastAsia="zh-CN"/>
        </w:rPr>
        <w:drawing>
          <wp:inline distT="0" distB="0" distL="114300" distR="114300">
            <wp:extent cx="6636385" cy="3453765"/>
            <wp:effectExtent l="0" t="0" r="12065" b="13335"/>
            <wp:docPr id="2" name="图片 2" descr="ScreenShot0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ScreenShot00091"/>
                    <pic:cNvPicPr>
                      <a:picLocks noChangeAspect="1"/>
                    </pic:cNvPicPr>
                  </pic:nvPicPr>
                  <pic:blipFill>
                    <a:blip r:embed="rId9"/>
                    <a:stretch>
                      <a:fillRect/>
                    </a:stretch>
                  </pic:blipFill>
                  <pic:spPr>
                    <a:xfrm>
                      <a:off x="0" y="0"/>
                      <a:ext cx="6636385" cy="3453765"/>
                    </a:xfrm>
                    <a:prstGeom prst="rect">
                      <a:avLst/>
                    </a:prstGeom>
                  </pic:spPr>
                </pic:pic>
              </a:graphicData>
            </a:graphic>
          </wp:inline>
        </w:drawing>
      </w:r>
    </w:p>
    <w:p>
      <w:pPr>
        <w:adjustRightInd w:val="0"/>
        <w:snapToGrid w:val="0"/>
        <w:spacing w:line="360" w:lineRule="auto"/>
        <w:rPr>
          <w:b/>
          <w:sz w:val="24"/>
        </w:rPr>
      </w:pPr>
      <w:r>
        <w:rPr>
          <w:b/>
          <w:sz w:val="24"/>
        </w:rPr>
        <w:br w:type="page"/>
      </w:r>
    </w:p>
    <w:p>
      <w:pPr>
        <w:adjustRightInd w:val="0"/>
        <w:snapToGrid w:val="0"/>
        <w:spacing w:line="360" w:lineRule="auto"/>
        <w:rPr>
          <w:b/>
          <w:sz w:val="24"/>
        </w:rPr>
      </w:pPr>
      <w:r>
        <w:rPr>
          <w:b/>
          <w:sz w:val="24"/>
        </w:rPr>
        <w:t>附件</w:t>
      </w:r>
      <w:r>
        <w:rPr>
          <w:rFonts w:hint="eastAsia"/>
          <w:b/>
          <w:sz w:val="24"/>
        </w:rPr>
        <w:t>2</w:t>
      </w:r>
      <w:r>
        <w:rPr>
          <w:b/>
          <w:sz w:val="24"/>
        </w:rPr>
        <w:t>：</w:t>
      </w:r>
      <w:r>
        <w:rPr>
          <w:rFonts w:hint="eastAsia"/>
          <w:b/>
          <w:sz w:val="24"/>
        </w:rPr>
        <w:t>环境影响报告书征求意见稿公示（报纸）</w:t>
      </w:r>
    </w:p>
    <w:p>
      <w:pPr>
        <w:adjustRightInd w:val="0"/>
        <w:snapToGrid w:val="0"/>
        <w:spacing w:line="360" w:lineRule="auto"/>
        <w:jc w:val="center"/>
        <w:rPr>
          <w:bCs/>
        </w:rPr>
      </w:pPr>
      <w:r>
        <w:rPr>
          <w:bCs/>
        </w:rPr>
        <mc:AlternateContent>
          <mc:Choice Requires="wps">
            <w:drawing>
              <wp:anchor distT="0" distB="0" distL="114300" distR="114300" simplePos="0" relativeHeight="251659264" behindDoc="0" locked="0" layoutInCell="1" allowOverlap="1">
                <wp:simplePos x="0" y="0"/>
                <wp:positionH relativeFrom="column">
                  <wp:posOffset>553720</wp:posOffset>
                </wp:positionH>
                <wp:positionV relativeFrom="paragraph">
                  <wp:posOffset>5025390</wp:posOffset>
                </wp:positionV>
                <wp:extent cx="1297305" cy="1360170"/>
                <wp:effectExtent l="12700" t="12700" r="23495" b="17780"/>
                <wp:wrapNone/>
                <wp:docPr id="12" name="矩形 12"/>
                <wp:cNvGraphicFramePr/>
                <a:graphic xmlns:a="http://schemas.openxmlformats.org/drawingml/2006/main">
                  <a:graphicData uri="http://schemas.microsoft.com/office/word/2010/wordprocessingShape">
                    <wps:wsp>
                      <wps:cNvSpPr/>
                      <wps:spPr>
                        <a:xfrm>
                          <a:off x="0" y="0"/>
                          <a:ext cx="1297305" cy="13601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3.6pt;margin-top:395.7pt;height:107.1pt;width:102.15pt;z-index:251659264;v-text-anchor:middle;mso-width-relative:page;mso-height-relative:page;" filled="f" stroked="t" coordsize="21600,21600" o:gfxdata="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ipAiC2QAAAAsBAAAPAAAAAAAAAAEAIAAAACIAAABkcnMvZG93bnJldi54bWxQSwECFAAU&#10;AAAACACHTuJA9fof0mICAAC3BAAADgAAAAAAAAABACAAAAAoAQAAZHJzL2Uyb0RvYy54bWxQSwUG&#10;AAAAAAYABgBZAQAA/AUAAAAA&#10;">
                <v:fill on="f" focussize="0,0"/>
                <v:stroke weight="2pt" color="#FF0000 [3204]" joinstyle="round"/>
                <v:imagedata o:title=""/>
                <o:lock v:ext="edit" aspectratio="f"/>
              </v:rect>
            </w:pict>
          </mc:Fallback>
        </mc:AlternateContent>
      </w:r>
      <w:r>
        <w:rPr>
          <w:bCs/>
        </w:rPr>
        <w:drawing>
          <wp:inline distT="0" distB="0" distL="114300" distR="114300">
            <wp:extent cx="6084570" cy="8605520"/>
            <wp:effectExtent l="0" t="0" r="11430" b="5080"/>
            <wp:docPr id="3" name="图片 3" descr="doc09869720230130143837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oc09869720230130143837_001"/>
                    <pic:cNvPicPr>
                      <a:picLocks noChangeAspect="1"/>
                    </pic:cNvPicPr>
                  </pic:nvPicPr>
                  <pic:blipFill>
                    <a:blip r:embed="rId10"/>
                    <a:stretch>
                      <a:fillRect/>
                    </a:stretch>
                  </pic:blipFill>
                  <pic:spPr>
                    <a:xfrm>
                      <a:off x="0" y="0"/>
                      <a:ext cx="6084570" cy="8605520"/>
                    </a:xfrm>
                    <a:prstGeom prst="rect">
                      <a:avLst/>
                    </a:prstGeom>
                  </pic:spPr>
                </pic:pic>
              </a:graphicData>
            </a:graphic>
          </wp:inline>
        </w:drawing>
      </w:r>
    </w:p>
    <w:p>
      <w:pPr>
        <w:adjustRightInd w:val="0"/>
        <w:snapToGrid w:val="0"/>
        <w:spacing w:line="360" w:lineRule="auto"/>
        <w:jc w:val="center"/>
        <w:rPr>
          <w:sz w:val="24"/>
        </w:rPr>
      </w:pPr>
      <w:r>
        <w:rPr>
          <w:bCs/>
        </w:rPr>
        <mc:AlternateContent>
          <mc:Choice Requires="wps">
            <w:drawing>
              <wp:anchor distT="0" distB="0" distL="114300" distR="114300" simplePos="0" relativeHeight="251660288" behindDoc="0" locked="0" layoutInCell="1" allowOverlap="1">
                <wp:simplePos x="0" y="0"/>
                <wp:positionH relativeFrom="column">
                  <wp:posOffset>424815</wp:posOffset>
                </wp:positionH>
                <wp:positionV relativeFrom="paragraph">
                  <wp:posOffset>4898390</wp:posOffset>
                </wp:positionV>
                <wp:extent cx="1297305" cy="1515745"/>
                <wp:effectExtent l="12700" t="12700" r="23495" b="14605"/>
                <wp:wrapNone/>
                <wp:docPr id="5" name="矩形 5"/>
                <wp:cNvGraphicFramePr/>
                <a:graphic xmlns:a="http://schemas.openxmlformats.org/drawingml/2006/main">
                  <a:graphicData uri="http://schemas.microsoft.com/office/word/2010/wordprocessingShape">
                    <wps:wsp>
                      <wps:cNvSpPr/>
                      <wps:spPr>
                        <a:xfrm>
                          <a:off x="0" y="0"/>
                          <a:ext cx="1297305" cy="15157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45pt;margin-top:385.7pt;height:119.35pt;width:102.15pt;z-index:251660288;v-text-anchor:middle;mso-width-relative:page;mso-height-relative:page;" filled="f" stroked="t" coordsize="21600,21600" o:gfxdata="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e4Sgv9kAAAALAQAADwAAAAAAAAABACAAAAAiAAAAZHJzL2Rvd25yZXYueG1sUEsBAhQAFAAA&#10;AAgAh07iQCVKKilgAgAAtQQAAA4AAAAAAAAAAQAgAAAAKAEAAGRycy9lMm9Eb2MueG1sUEsFBgAA&#10;AAAGAAYAWQEAAPoFAAAAAA==&#10;">
                <v:fill on="f" focussize="0,0"/>
                <v:stroke weight="2pt" color="#FF0000 [3204]" joinstyle="round"/>
                <v:imagedata o:title=""/>
                <o:lock v:ext="edit" aspectratio="f"/>
              </v:rect>
            </w:pict>
          </mc:Fallback>
        </mc:AlternateContent>
      </w:r>
      <w:r>
        <w:drawing>
          <wp:inline distT="0" distB="0" distL="114300" distR="114300">
            <wp:extent cx="6078855" cy="8590280"/>
            <wp:effectExtent l="0" t="0" r="17145" b="127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1"/>
                    <a:stretch>
                      <a:fillRect/>
                    </a:stretch>
                  </pic:blipFill>
                  <pic:spPr>
                    <a:xfrm>
                      <a:off x="0" y="0"/>
                      <a:ext cx="6078855" cy="8590280"/>
                    </a:xfrm>
                    <a:prstGeom prst="rect">
                      <a:avLst/>
                    </a:prstGeom>
                    <a:noFill/>
                    <a:ln>
                      <a:noFill/>
                    </a:ln>
                  </pic:spPr>
                </pic:pic>
              </a:graphicData>
            </a:graphic>
          </wp:inline>
        </w:drawing>
      </w:r>
      <w:r>
        <w:rPr>
          <w:bCs/>
        </w:rPr>
        <w:br w:type="page"/>
      </w:r>
    </w:p>
    <w:p>
      <w:pPr>
        <w:pStyle w:val="2"/>
        <w:tabs>
          <w:tab w:val="clear" w:pos="4648"/>
        </w:tabs>
        <w:adjustRightInd w:val="0"/>
        <w:snapToGrid w:val="0"/>
        <w:ind w:firstLine="0" w:firstLineChars="0"/>
        <w:rPr>
          <w:bCs/>
        </w:rPr>
      </w:pPr>
    </w:p>
    <w:sectPr>
      <w:footerReference r:id="rId7" w:type="default"/>
      <w:pgSz w:w="11906" w:h="16838"/>
      <w:pgMar w:top="720" w:right="720" w:bottom="720" w:left="720" w:header="680" w:footer="680"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center" w:y="1"/>
      <w:rPr>
        <w:rStyle w:val="14"/>
      </w:rPr>
    </w:pPr>
    <w:r>
      <w:rPr>
        <w:rStyle w:val="14"/>
      </w:rPr>
      <w:fldChar w:fldCharType="begin"/>
    </w:r>
    <w:r>
      <w:rPr>
        <w:rStyle w:val="14"/>
      </w:rPr>
      <w:instrText xml:space="preserve">PAGE  </w:instrText>
    </w:r>
    <w:r>
      <w:rPr>
        <w:rStyle w:val="14"/>
      </w:rPr>
      <w:fldChar w:fldCharType="end"/>
    </w:r>
  </w:p>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top w:val="single" w:color="auto" w:sz="4" w:space="1"/>
      </w:pBdr>
      <w:jc w:val="center"/>
    </w:pPr>
    <w:r>
      <w:rPr>
        <w:rStyle w:val="14"/>
      </w:rPr>
      <w:fldChar w:fldCharType="begin"/>
    </w:r>
    <w:r>
      <w:rPr>
        <w:rStyle w:val="14"/>
      </w:rPr>
      <w:instrText xml:space="preserve">PAGE  </w:instrText>
    </w:r>
    <w:r>
      <w:rPr>
        <w:rStyle w:val="14"/>
      </w:rPr>
      <w:fldChar w:fldCharType="separate"/>
    </w:r>
    <w:r>
      <w:rPr>
        <w:rStyle w:val="14"/>
      </w:rPr>
      <w:t>5</w:t>
    </w:r>
    <w:r>
      <w:rPr>
        <w:rStyle w:val="1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top w:val="single" w:color="auto" w:sz="4" w:space="1"/>
      </w:pBdr>
      <w:jc w:val="center"/>
    </w:pPr>
    <w:r>
      <w:rPr>
        <w:rStyle w:val="14"/>
      </w:rPr>
      <w:fldChar w:fldCharType="begin"/>
    </w:r>
    <w:r>
      <w:rPr>
        <w:rStyle w:val="14"/>
      </w:rPr>
      <w:instrText xml:space="preserve">PAGE  </w:instrText>
    </w:r>
    <w:r>
      <w:rPr>
        <w:rStyle w:val="14"/>
      </w:rPr>
      <w:fldChar w:fldCharType="separate"/>
    </w:r>
    <w:r>
      <w:rPr>
        <w:rStyle w:val="14"/>
      </w:rPr>
      <w:t>9</w:t>
    </w:r>
    <w:r>
      <w:rPr>
        <w:rStyle w:val="14"/>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r>
      <w:rPr>
        <w:rFonts w:hint="eastAsia"/>
      </w:rPr>
      <w:t>山东尚舜化工有限公司16000 吨/年 M、10000 吨/年 CBS、8000吨/年 DM、6000 吨/年 DPG、8000 吨/年DZ扩产项目</w:t>
    </w:r>
    <w:r>
      <w:rPr>
        <w:rFonts w:hint="eastAsia"/>
        <w:lang w:val="en-US" w:eastAsia="zh-CN"/>
      </w:rPr>
      <w:t>和</w:t>
    </w:r>
    <w:r>
      <w:rPr>
        <w:rFonts w:hint="eastAsia"/>
      </w:rPr>
      <w:t>8000 吨/年4010NA及28000吨/年 TBBS 扩产项目</w:t>
    </w:r>
    <w:r>
      <w:rPr>
        <w:rFonts w:hint="eastAsia"/>
        <w:lang w:val="en-US" w:eastAsia="zh-CN"/>
      </w:rPr>
      <w:t xml:space="preserve">    </w:t>
    </w:r>
    <w:r>
      <w:rPr>
        <w:rFonts w:hint="eastAsia"/>
      </w:rPr>
      <w:t>公众参与说明</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RiYjc3YTIzOTI2ZGJjYTNiMDBhNTIxOWQyNThkYTgifQ=="/>
  </w:docVars>
  <w:rsids>
    <w:rsidRoot w:val="003163C1"/>
    <w:rsid w:val="000002D1"/>
    <w:rsid w:val="00003FA3"/>
    <w:rsid w:val="000048C3"/>
    <w:rsid w:val="00006E30"/>
    <w:rsid w:val="00007E0C"/>
    <w:rsid w:val="000127B3"/>
    <w:rsid w:val="00013236"/>
    <w:rsid w:val="000136C5"/>
    <w:rsid w:val="0001464C"/>
    <w:rsid w:val="00014E8A"/>
    <w:rsid w:val="00015384"/>
    <w:rsid w:val="00017FEF"/>
    <w:rsid w:val="00023094"/>
    <w:rsid w:val="00023E0D"/>
    <w:rsid w:val="00025AE7"/>
    <w:rsid w:val="00027065"/>
    <w:rsid w:val="00032796"/>
    <w:rsid w:val="000329CC"/>
    <w:rsid w:val="00032D4B"/>
    <w:rsid w:val="00033F34"/>
    <w:rsid w:val="0003476A"/>
    <w:rsid w:val="0003664C"/>
    <w:rsid w:val="00041078"/>
    <w:rsid w:val="0004254A"/>
    <w:rsid w:val="00045F74"/>
    <w:rsid w:val="00050FD6"/>
    <w:rsid w:val="00053806"/>
    <w:rsid w:val="00054A24"/>
    <w:rsid w:val="00061E6A"/>
    <w:rsid w:val="000620B3"/>
    <w:rsid w:val="00070694"/>
    <w:rsid w:val="00072FF8"/>
    <w:rsid w:val="000731AE"/>
    <w:rsid w:val="00073F14"/>
    <w:rsid w:val="0008083C"/>
    <w:rsid w:val="0008154A"/>
    <w:rsid w:val="000877EA"/>
    <w:rsid w:val="00087AD5"/>
    <w:rsid w:val="00096C29"/>
    <w:rsid w:val="00096CD1"/>
    <w:rsid w:val="00097D08"/>
    <w:rsid w:val="000A240F"/>
    <w:rsid w:val="000A29E0"/>
    <w:rsid w:val="000A3211"/>
    <w:rsid w:val="000A608C"/>
    <w:rsid w:val="000A744F"/>
    <w:rsid w:val="000A7698"/>
    <w:rsid w:val="000B20FA"/>
    <w:rsid w:val="000B291C"/>
    <w:rsid w:val="000B77D4"/>
    <w:rsid w:val="000B7C23"/>
    <w:rsid w:val="000C229A"/>
    <w:rsid w:val="000C4541"/>
    <w:rsid w:val="000C63B2"/>
    <w:rsid w:val="000C6C05"/>
    <w:rsid w:val="000C7AB2"/>
    <w:rsid w:val="000C7C41"/>
    <w:rsid w:val="000D0CE8"/>
    <w:rsid w:val="000D4340"/>
    <w:rsid w:val="000D6CB2"/>
    <w:rsid w:val="000D7808"/>
    <w:rsid w:val="000E012C"/>
    <w:rsid w:val="000E14A3"/>
    <w:rsid w:val="000E3AF1"/>
    <w:rsid w:val="000E4CFE"/>
    <w:rsid w:val="000E7D63"/>
    <w:rsid w:val="000F0313"/>
    <w:rsid w:val="000F0AAC"/>
    <w:rsid w:val="000F1259"/>
    <w:rsid w:val="000F28EA"/>
    <w:rsid w:val="000F695C"/>
    <w:rsid w:val="0010281B"/>
    <w:rsid w:val="0010609B"/>
    <w:rsid w:val="001061E9"/>
    <w:rsid w:val="00111B9E"/>
    <w:rsid w:val="001133A5"/>
    <w:rsid w:val="0012257C"/>
    <w:rsid w:val="00123FF2"/>
    <w:rsid w:val="00124F91"/>
    <w:rsid w:val="001279D0"/>
    <w:rsid w:val="00127ED7"/>
    <w:rsid w:val="00130C42"/>
    <w:rsid w:val="00131CD0"/>
    <w:rsid w:val="00133BF7"/>
    <w:rsid w:val="001341CE"/>
    <w:rsid w:val="001342FD"/>
    <w:rsid w:val="0013450A"/>
    <w:rsid w:val="001428C7"/>
    <w:rsid w:val="00143325"/>
    <w:rsid w:val="001439B6"/>
    <w:rsid w:val="001447E9"/>
    <w:rsid w:val="001460C1"/>
    <w:rsid w:val="00146F53"/>
    <w:rsid w:val="00147AB1"/>
    <w:rsid w:val="00152B29"/>
    <w:rsid w:val="00153079"/>
    <w:rsid w:val="001534D0"/>
    <w:rsid w:val="00157F6B"/>
    <w:rsid w:val="00160AD6"/>
    <w:rsid w:val="00162279"/>
    <w:rsid w:val="0016328D"/>
    <w:rsid w:val="00164325"/>
    <w:rsid w:val="00165A5C"/>
    <w:rsid w:val="00166C95"/>
    <w:rsid w:val="00170039"/>
    <w:rsid w:val="001725A0"/>
    <w:rsid w:val="00174C02"/>
    <w:rsid w:val="001775E3"/>
    <w:rsid w:val="00181715"/>
    <w:rsid w:val="00182273"/>
    <w:rsid w:val="001822BC"/>
    <w:rsid w:val="00183897"/>
    <w:rsid w:val="00186739"/>
    <w:rsid w:val="00187EFF"/>
    <w:rsid w:val="00191BA1"/>
    <w:rsid w:val="00192B73"/>
    <w:rsid w:val="00193BEA"/>
    <w:rsid w:val="00193C1C"/>
    <w:rsid w:val="00196C63"/>
    <w:rsid w:val="00196D50"/>
    <w:rsid w:val="001A00CB"/>
    <w:rsid w:val="001A0E5F"/>
    <w:rsid w:val="001A0F5E"/>
    <w:rsid w:val="001A57F4"/>
    <w:rsid w:val="001B0E42"/>
    <w:rsid w:val="001B1C4A"/>
    <w:rsid w:val="001B281F"/>
    <w:rsid w:val="001B2908"/>
    <w:rsid w:val="001B42CF"/>
    <w:rsid w:val="001B4D5E"/>
    <w:rsid w:val="001C1EEB"/>
    <w:rsid w:val="001C29D7"/>
    <w:rsid w:val="001C2ED1"/>
    <w:rsid w:val="001C5611"/>
    <w:rsid w:val="001C6DA6"/>
    <w:rsid w:val="001D0B87"/>
    <w:rsid w:val="001E0FBE"/>
    <w:rsid w:val="001E644C"/>
    <w:rsid w:val="001E7B49"/>
    <w:rsid w:val="001E7BA8"/>
    <w:rsid w:val="001F156D"/>
    <w:rsid w:val="001F326D"/>
    <w:rsid w:val="001F4E5A"/>
    <w:rsid w:val="001F5475"/>
    <w:rsid w:val="001F6AA5"/>
    <w:rsid w:val="001F6FB1"/>
    <w:rsid w:val="001F7174"/>
    <w:rsid w:val="001F723B"/>
    <w:rsid w:val="002046C8"/>
    <w:rsid w:val="0020642D"/>
    <w:rsid w:val="00213F32"/>
    <w:rsid w:val="0021654C"/>
    <w:rsid w:val="002168E1"/>
    <w:rsid w:val="002211E3"/>
    <w:rsid w:val="00224E66"/>
    <w:rsid w:val="00227DDF"/>
    <w:rsid w:val="00230651"/>
    <w:rsid w:val="00232784"/>
    <w:rsid w:val="0023443B"/>
    <w:rsid w:val="00235355"/>
    <w:rsid w:val="00235EAE"/>
    <w:rsid w:val="00235F2A"/>
    <w:rsid w:val="00236E1E"/>
    <w:rsid w:val="002376CC"/>
    <w:rsid w:val="002406FB"/>
    <w:rsid w:val="00240E7A"/>
    <w:rsid w:val="00242222"/>
    <w:rsid w:val="00242AAB"/>
    <w:rsid w:val="00244A7F"/>
    <w:rsid w:val="00245951"/>
    <w:rsid w:val="00245CF7"/>
    <w:rsid w:val="00254821"/>
    <w:rsid w:val="00255CAF"/>
    <w:rsid w:val="00260438"/>
    <w:rsid w:val="00260A41"/>
    <w:rsid w:val="00260C87"/>
    <w:rsid w:val="00261B01"/>
    <w:rsid w:val="0026622B"/>
    <w:rsid w:val="0026692A"/>
    <w:rsid w:val="00274516"/>
    <w:rsid w:val="002758ED"/>
    <w:rsid w:val="0027596A"/>
    <w:rsid w:val="00277AC8"/>
    <w:rsid w:val="00277E51"/>
    <w:rsid w:val="00280B2A"/>
    <w:rsid w:val="00286117"/>
    <w:rsid w:val="00290041"/>
    <w:rsid w:val="0029119E"/>
    <w:rsid w:val="0029229C"/>
    <w:rsid w:val="00295D22"/>
    <w:rsid w:val="002963E5"/>
    <w:rsid w:val="002A07B6"/>
    <w:rsid w:val="002A1C1A"/>
    <w:rsid w:val="002A2347"/>
    <w:rsid w:val="002A2824"/>
    <w:rsid w:val="002A45D8"/>
    <w:rsid w:val="002A564E"/>
    <w:rsid w:val="002B4294"/>
    <w:rsid w:val="002B4B9B"/>
    <w:rsid w:val="002B51A2"/>
    <w:rsid w:val="002B53FE"/>
    <w:rsid w:val="002B61ED"/>
    <w:rsid w:val="002B6271"/>
    <w:rsid w:val="002B6975"/>
    <w:rsid w:val="002B7349"/>
    <w:rsid w:val="002C1661"/>
    <w:rsid w:val="002C1B2A"/>
    <w:rsid w:val="002C230E"/>
    <w:rsid w:val="002C3EED"/>
    <w:rsid w:val="002D117A"/>
    <w:rsid w:val="002D2CD7"/>
    <w:rsid w:val="002D3425"/>
    <w:rsid w:val="002D53A8"/>
    <w:rsid w:val="002D72EA"/>
    <w:rsid w:val="002E240A"/>
    <w:rsid w:val="002E2FBE"/>
    <w:rsid w:val="002E35BE"/>
    <w:rsid w:val="002E76EF"/>
    <w:rsid w:val="002F076D"/>
    <w:rsid w:val="002F4155"/>
    <w:rsid w:val="002F4459"/>
    <w:rsid w:val="002F518F"/>
    <w:rsid w:val="002F56EF"/>
    <w:rsid w:val="002F589D"/>
    <w:rsid w:val="002F69BE"/>
    <w:rsid w:val="002F7F01"/>
    <w:rsid w:val="003023A9"/>
    <w:rsid w:val="00311C50"/>
    <w:rsid w:val="003151D6"/>
    <w:rsid w:val="003163C1"/>
    <w:rsid w:val="00316AED"/>
    <w:rsid w:val="00321574"/>
    <w:rsid w:val="00322398"/>
    <w:rsid w:val="0032310F"/>
    <w:rsid w:val="00332CC7"/>
    <w:rsid w:val="00334160"/>
    <w:rsid w:val="00335B33"/>
    <w:rsid w:val="00335F15"/>
    <w:rsid w:val="00336063"/>
    <w:rsid w:val="00337291"/>
    <w:rsid w:val="003406BD"/>
    <w:rsid w:val="00343575"/>
    <w:rsid w:val="0034363D"/>
    <w:rsid w:val="00343E43"/>
    <w:rsid w:val="00343F54"/>
    <w:rsid w:val="0034500D"/>
    <w:rsid w:val="00345C76"/>
    <w:rsid w:val="0034701B"/>
    <w:rsid w:val="00350EB1"/>
    <w:rsid w:val="00351621"/>
    <w:rsid w:val="003516B9"/>
    <w:rsid w:val="00356BA0"/>
    <w:rsid w:val="003577E6"/>
    <w:rsid w:val="003608F8"/>
    <w:rsid w:val="00360B42"/>
    <w:rsid w:val="00362582"/>
    <w:rsid w:val="00363607"/>
    <w:rsid w:val="00366EA4"/>
    <w:rsid w:val="00370305"/>
    <w:rsid w:val="00370A8A"/>
    <w:rsid w:val="00373227"/>
    <w:rsid w:val="00374E96"/>
    <w:rsid w:val="00377DF0"/>
    <w:rsid w:val="00381210"/>
    <w:rsid w:val="0038324D"/>
    <w:rsid w:val="00384FD5"/>
    <w:rsid w:val="00391224"/>
    <w:rsid w:val="0039320D"/>
    <w:rsid w:val="003935DA"/>
    <w:rsid w:val="0039571C"/>
    <w:rsid w:val="003965A3"/>
    <w:rsid w:val="00397191"/>
    <w:rsid w:val="003A1660"/>
    <w:rsid w:val="003A6604"/>
    <w:rsid w:val="003A6F1C"/>
    <w:rsid w:val="003B32C6"/>
    <w:rsid w:val="003B34B9"/>
    <w:rsid w:val="003B436B"/>
    <w:rsid w:val="003B6424"/>
    <w:rsid w:val="003B6CF4"/>
    <w:rsid w:val="003C01BD"/>
    <w:rsid w:val="003C01D3"/>
    <w:rsid w:val="003C171A"/>
    <w:rsid w:val="003C2DF2"/>
    <w:rsid w:val="003C3F35"/>
    <w:rsid w:val="003C609A"/>
    <w:rsid w:val="003D2432"/>
    <w:rsid w:val="003D3BF6"/>
    <w:rsid w:val="003D45DE"/>
    <w:rsid w:val="003D4D4E"/>
    <w:rsid w:val="003D5BAE"/>
    <w:rsid w:val="003D6450"/>
    <w:rsid w:val="003D70E3"/>
    <w:rsid w:val="003E2655"/>
    <w:rsid w:val="003E2E3B"/>
    <w:rsid w:val="003E4835"/>
    <w:rsid w:val="003E5B5B"/>
    <w:rsid w:val="003E653B"/>
    <w:rsid w:val="003E7693"/>
    <w:rsid w:val="003F01C0"/>
    <w:rsid w:val="003F0ACF"/>
    <w:rsid w:val="003F3405"/>
    <w:rsid w:val="003F3F44"/>
    <w:rsid w:val="003F4B23"/>
    <w:rsid w:val="003F6190"/>
    <w:rsid w:val="003F7BA0"/>
    <w:rsid w:val="00402E35"/>
    <w:rsid w:val="00403311"/>
    <w:rsid w:val="0040598E"/>
    <w:rsid w:val="00406C9C"/>
    <w:rsid w:val="0040783B"/>
    <w:rsid w:val="004156B7"/>
    <w:rsid w:val="004171CD"/>
    <w:rsid w:val="00425975"/>
    <w:rsid w:val="00430DC3"/>
    <w:rsid w:val="00430DD1"/>
    <w:rsid w:val="0043118D"/>
    <w:rsid w:val="0043462D"/>
    <w:rsid w:val="00440162"/>
    <w:rsid w:val="00441451"/>
    <w:rsid w:val="00444CE6"/>
    <w:rsid w:val="0044500B"/>
    <w:rsid w:val="00451660"/>
    <w:rsid w:val="00451B08"/>
    <w:rsid w:val="00454747"/>
    <w:rsid w:val="00455DFC"/>
    <w:rsid w:val="0045781A"/>
    <w:rsid w:val="00460033"/>
    <w:rsid w:val="004620E6"/>
    <w:rsid w:val="00462C6C"/>
    <w:rsid w:val="00464FA5"/>
    <w:rsid w:val="004714A3"/>
    <w:rsid w:val="00471ABF"/>
    <w:rsid w:val="0047226E"/>
    <w:rsid w:val="00476D98"/>
    <w:rsid w:val="0048202B"/>
    <w:rsid w:val="004846F2"/>
    <w:rsid w:val="00486241"/>
    <w:rsid w:val="00487FE3"/>
    <w:rsid w:val="004904C9"/>
    <w:rsid w:val="004911BA"/>
    <w:rsid w:val="00492B0F"/>
    <w:rsid w:val="00493F6B"/>
    <w:rsid w:val="00494DB3"/>
    <w:rsid w:val="0049593C"/>
    <w:rsid w:val="00496B8A"/>
    <w:rsid w:val="004A17B7"/>
    <w:rsid w:val="004A21E8"/>
    <w:rsid w:val="004A3D96"/>
    <w:rsid w:val="004B1E85"/>
    <w:rsid w:val="004B3799"/>
    <w:rsid w:val="004B405D"/>
    <w:rsid w:val="004B6033"/>
    <w:rsid w:val="004C052F"/>
    <w:rsid w:val="004C16AE"/>
    <w:rsid w:val="004C1FD9"/>
    <w:rsid w:val="004C20B8"/>
    <w:rsid w:val="004C3BD5"/>
    <w:rsid w:val="004D3553"/>
    <w:rsid w:val="004D7037"/>
    <w:rsid w:val="004E1012"/>
    <w:rsid w:val="004E180A"/>
    <w:rsid w:val="004E23FA"/>
    <w:rsid w:val="004E245D"/>
    <w:rsid w:val="004E2470"/>
    <w:rsid w:val="004E2640"/>
    <w:rsid w:val="004E343A"/>
    <w:rsid w:val="004E7584"/>
    <w:rsid w:val="004F1E83"/>
    <w:rsid w:val="004F26F3"/>
    <w:rsid w:val="004F5A68"/>
    <w:rsid w:val="004F5CCD"/>
    <w:rsid w:val="004F6D8D"/>
    <w:rsid w:val="0050222A"/>
    <w:rsid w:val="005026EB"/>
    <w:rsid w:val="00503224"/>
    <w:rsid w:val="00503E21"/>
    <w:rsid w:val="00505DFB"/>
    <w:rsid w:val="00505ED0"/>
    <w:rsid w:val="0050657A"/>
    <w:rsid w:val="005113E2"/>
    <w:rsid w:val="005165D2"/>
    <w:rsid w:val="005167D8"/>
    <w:rsid w:val="00516AAE"/>
    <w:rsid w:val="00524156"/>
    <w:rsid w:val="00530548"/>
    <w:rsid w:val="00533A1E"/>
    <w:rsid w:val="00534AAD"/>
    <w:rsid w:val="005356F2"/>
    <w:rsid w:val="00536A2C"/>
    <w:rsid w:val="00537219"/>
    <w:rsid w:val="0053746E"/>
    <w:rsid w:val="00537C2B"/>
    <w:rsid w:val="0054636F"/>
    <w:rsid w:val="00552F5A"/>
    <w:rsid w:val="00553873"/>
    <w:rsid w:val="0056232E"/>
    <w:rsid w:val="005656C8"/>
    <w:rsid w:val="00566037"/>
    <w:rsid w:val="005676A5"/>
    <w:rsid w:val="005731FB"/>
    <w:rsid w:val="00573972"/>
    <w:rsid w:val="00577432"/>
    <w:rsid w:val="005804F3"/>
    <w:rsid w:val="005819D9"/>
    <w:rsid w:val="0058201A"/>
    <w:rsid w:val="00582422"/>
    <w:rsid w:val="00584230"/>
    <w:rsid w:val="0058477B"/>
    <w:rsid w:val="00587978"/>
    <w:rsid w:val="005908C0"/>
    <w:rsid w:val="00590F79"/>
    <w:rsid w:val="00592F43"/>
    <w:rsid w:val="005A3947"/>
    <w:rsid w:val="005A6E3A"/>
    <w:rsid w:val="005B02F2"/>
    <w:rsid w:val="005B30ED"/>
    <w:rsid w:val="005B56F7"/>
    <w:rsid w:val="005B59A0"/>
    <w:rsid w:val="005B67C7"/>
    <w:rsid w:val="005B72D8"/>
    <w:rsid w:val="005C06E7"/>
    <w:rsid w:val="005C173B"/>
    <w:rsid w:val="005C1E70"/>
    <w:rsid w:val="005C3DD1"/>
    <w:rsid w:val="005C56F1"/>
    <w:rsid w:val="005C6B30"/>
    <w:rsid w:val="005C70B4"/>
    <w:rsid w:val="005D00C1"/>
    <w:rsid w:val="005D1280"/>
    <w:rsid w:val="005D41C0"/>
    <w:rsid w:val="005E532E"/>
    <w:rsid w:val="005E575C"/>
    <w:rsid w:val="005E57AD"/>
    <w:rsid w:val="005F1750"/>
    <w:rsid w:val="005F30A4"/>
    <w:rsid w:val="00600D0B"/>
    <w:rsid w:val="00602004"/>
    <w:rsid w:val="006044DD"/>
    <w:rsid w:val="006057A8"/>
    <w:rsid w:val="00615FBF"/>
    <w:rsid w:val="00616802"/>
    <w:rsid w:val="00616F00"/>
    <w:rsid w:val="00623351"/>
    <w:rsid w:val="00623F7F"/>
    <w:rsid w:val="00631A4B"/>
    <w:rsid w:val="00632EA1"/>
    <w:rsid w:val="00636833"/>
    <w:rsid w:val="0064031A"/>
    <w:rsid w:val="006450C6"/>
    <w:rsid w:val="006474C3"/>
    <w:rsid w:val="00647532"/>
    <w:rsid w:val="006601D3"/>
    <w:rsid w:val="00661138"/>
    <w:rsid w:val="00663DBF"/>
    <w:rsid w:val="00665C7E"/>
    <w:rsid w:val="00670834"/>
    <w:rsid w:val="00670984"/>
    <w:rsid w:val="006737F3"/>
    <w:rsid w:val="00675697"/>
    <w:rsid w:val="00677756"/>
    <w:rsid w:val="0068051A"/>
    <w:rsid w:val="00681EF3"/>
    <w:rsid w:val="00681F69"/>
    <w:rsid w:val="00683883"/>
    <w:rsid w:val="00684057"/>
    <w:rsid w:val="006858A1"/>
    <w:rsid w:val="00685B90"/>
    <w:rsid w:val="0069144E"/>
    <w:rsid w:val="00691FD5"/>
    <w:rsid w:val="00692D06"/>
    <w:rsid w:val="00692FF1"/>
    <w:rsid w:val="006A0AC2"/>
    <w:rsid w:val="006A0B76"/>
    <w:rsid w:val="006A7047"/>
    <w:rsid w:val="006B040A"/>
    <w:rsid w:val="006B0E6D"/>
    <w:rsid w:val="006B4017"/>
    <w:rsid w:val="006B67F7"/>
    <w:rsid w:val="006C5188"/>
    <w:rsid w:val="006C53B6"/>
    <w:rsid w:val="006C6553"/>
    <w:rsid w:val="006C65EE"/>
    <w:rsid w:val="006C6FDB"/>
    <w:rsid w:val="006C7CE4"/>
    <w:rsid w:val="006D0155"/>
    <w:rsid w:val="006D28B3"/>
    <w:rsid w:val="006D2EE3"/>
    <w:rsid w:val="006D3AF1"/>
    <w:rsid w:val="006D5707"/>
    <w:rsid w:val="006E0190"/>
    <w:rsid w:val="006E26C3"/>
    <w:rsid w:val="006E339B"/>
    <w:rsid w:val="006E4B69"/>
    <w:rsid w:val="006F028F"/>
    <w:rsid w:val="006F38B7"/>
    <w:rsid w:val="006F3CDE"/>
    <w:rsid w:val="006F6A8F"/>
    <w:rsid w:val="00700574"/>
    <w:rsid w:val="00702F4E"/>
    <w:rsid w:val="0070348A"/>
    <w:rsid w:val="0070514C"/>
    <w:rsid w:val="00710AA7"/>
    <w:rsid w:val="007115EB"/>
    <w:rsid w:val="00713B8B"/>
    <w:rsid w:val="0071529C"/>
    <w:rsid w:val="00715A6D"/>
    <w:rsid w:val="007242EF"/>
    <w:rsid w:val="00726B26"/>
    <w:rsid w:val="0072794E"/>
    <w:rsid w:val="00731C7E"/>
    <w:rsid w:val="00733157"/>
    <w:rsid w:val="007358CC"/>
    <w:rsid w:val="00742396"/>
    <w:rsid w:val="00742F1E"/>
    <w:rsid w:val="00746E85"/>
    <w:rsid w:val="007513AA"/>
    <w:rsid w:val="00755287"/>
    <w:rsid w:val="0075699C"/>
    <w:rsid w:val="00760390"/>
    <w:rsid w:val="00761438"/>
    <w:rsid w:val="00761EF9"/>
    <w:rsid w:val="00762861"/>
    <w:rsid w:val="00766436"/>
    <w:rsid w:val="00767614"/>
    <w:rsid w:val="00767FEE"/>
    <w:rsid w:val="00771543"/>
    <w:rsid w:val="00773383"/>
    <w:rsid w:val="00780662"/>
    <w:rsid w:val="007815DF"/>
    <w:rsid w:val="007816C2"/>
    <w:rsid w:val="00790F1D"/>
    <w:rsid w:val="00796765"/>
    <w:rsid w:val="007A35A6"/>
    <w:rsid w:val="007A3877"/>
    <w:rsid w:val="007A3C0A"/>
    <w:rsid w:val="007A599C"/>
    <w:rsid w:val="007A63F6"/>
    <w:rsid w:val="007A778A"/>
    <w:rsid w:val="007B1AFB"/>
    <w:rsid w:val="007B41DA"/>
    <w:rsid w:val="007B59CF"/>
    <w:rsid w:val="007B6749"/>
    <w:rsid w:val="007C4A01"/>
    <w:rsid w:val="007D0DEE"/>
    <w:rsid w:val="007D15AE"/>
    <w:rsid w:val="007D4FEE"/>
    <w:rsid w:val="007D57E2"/>
    <w:rsid w:val="007D58D1"/>
    <w:rsid w:val="007D6C9B"/>
    <w:rsid w:val="007E0D80"/>
    <w:rsid w:val="007E4ACA"/>
    <w:rsid w:val="007E5334"/>
    <w:rsid w:val="007E53FA"/>
    <w:rsid w:val="007E7B2A"/>
    <w:rsid w:val="007F144D"/>
    <w:rsid w:val="007F4B38"/>
    <w:rsid w:val="007F6A33"/>
    <w:rsid w:val="007F7A1D"/>
    <w:rsid w:val="00800D6A"/>
    <w:rsid w:val="008010B4"/>
    <w:rsid w:val="008013B3"/>
    <w:rsid w:val="00804037"/>
    <w:rsid w:val="008105F0"/>
    <w:rsid w:val="00811023"/>
    <w:rsid w:val="00811434"/>
    <w:rsid w:val="00812F3F"/>
    <w:rsid w:val="008139A2"/>
    <w:rsid w:val="00817E2A"/>
    <w:rsid w:val="00820064"/>
    <w:rsid w:val="0082692A"/>
    <w:rsid w:val="00830AF1"/>
    <w:rsid w:val="00831115"/>
    <w:rsid w:val="008314E0"/>
    <w:rsid w:val="00831A1C"/>
    <w:rsid w:val="00833B4D"/>
    <w:rsid w:val="0083524D"/>
    <w:rsid w:val="00837AC8"/>
    <w:rsid w:val="00841DB6"/>
    <w:rsid w:val="00843C91"/>
    <w:rsid w:val="00843DCF"/>
    <w:rsid w:val="00845FBF"/>
    <w:rsid w:val="00847B22"/>
    <w:rsid w:val="00851641"/>
    <w:rsid w:val="00851A68"/>
    <w:rsid w:val="00851C62"/>
    <w:rsid w:val="00854915"/>
    <w:rsid w:val="00855996"/>
    <w:rsid w:val="0085631D"/>
    <w:rsid w:val="00856DCB"/>
    <w:rsid w:val="0086114E"/>
    <w:rsid w:val="008619B4"/>
    <w:rsid w:val="008627AA"/>
    <w:rsid w:val="00862BFE"/>
    <w:rsid w:val="0086353F"/>
    <w:rsid w:val="0086357F"/>
    <w:rsid w:val="00864876"/>
    <w:rsid w:val="00865E88"/>
    <w:rsid w:val="00865FE6"/>
    <w:rsid w:val="00870052"/>
    <w:rsid w:val="008742D4"/>
    <w:rsid w:val="00874B63"/>
    <w:rsid w:val="00875F9D"/>
    <w:rsid w:val="008804F5"/>
    <w:rsid w:val="00881417"/>
    <w:rsid w:val="00881611"/>
    <w:rsid w:val="00882B09"/>
    <w:rsid w:val="00884882"/>
    <w:rsid w:val="0088582F"/>
    <w:rsid w:val="008866FC"/>
    <w:rsid w:val="00887ED7"/>
    <w:rsid w:val="008903D3"/>
    <w:rsid w:val="00891758"/>
    <w:rsid w:val="00891B19"/>
    <w:rsid w:val="008938A2"/>
    <w:rsid w:val="008940E4"/>
    <w:rsid w:val="008943DF"/>
    <w:rsid w:val="00896AFE"/>
    <w:rsid w:val="008A06B6"/>
    <w:rsid w:val="008A252D"/>
    <w:rsid w:val="008A5797"/>
    <w:rsid w:val="008B0CA1"/>
    <w:rsid w:val="008B109E"/>
    <w:rsid w:val="008B2395"/>
    <w:rsid w:val="008B298E"/>
    <w:rsid w:val="008B3BCE"/>
    <w:rsid w:val="008B3BD0"/>
    <w:rsid w:val="008B6165"/>
    <w:rsid w:val="008C40CE"/>
    <w:rsid w:val="008C66ED"/>
    <w:rsid w:val="008C74D8"/>
    <w:rsid w:val="008D4C6F"/>
    <w:rsid w:val="008D6B08"/>
    <w:rsid w:val="008D70FC"/>
    <w:rsid w:val="008E0C8E"/>
    <w:rsid w:val="008E2740"/>
    <w:rsid w:val="008E3BAB"/>
    <w:rsid w:val="008E5A73"/>
    <w:rsid w:val="008F2151"/>
    <w:rsid w:val="008F29CE"/>
    <w:rsid w:val="008F60B9"/>
    <w:rsid w:val="008F7F2E"/>
    <w:rsid w:val="00900CB2"/>
    <w:rsid w:val="00902B7E"/>
    <w:rsid w:val="00906F62"/>
    <w:rsid w:val="00907401"/>
    <w:rsid w:val="00907619"/>
    <w:rsid w:val="00907C6F"/>
    <w:rsid w:val="00910038"/>
    <w:rsid w:val="00913910"/>
    <w:rsid w:val="009141D5"/>
    <w:rsid w:val="009144B2"/>
    <w:rsid w:val="00914CEA"/>
    <w:rsid w:val="00915A5C"/>
    <w:rsid w:val="0092162C"/>
    <w:rsid w:val="00923F5F"/>
    <w:rsid w:val="00925280"/>
    <w:rsid w:val="009268BA"/>
    <w:rsid w:val="009279ED"/>
    <w:rsid w:val="0093020C"/>
    <w:rsid w:val="009332F1"/>
    <w:rsid w:val="009343AF"/>
    <w:rsid w:val="00937C4B"/>
    <w:rsid w:val="00940F9B"/>
    <w:rsid w:val="009454D8"/>
    <w:rsid w:val="0094614B"/>
    <w:rsid w:val="00950797"/>
    <w:rsid w:val="009527F3"/>
    <w:rsid w:val="00955136"/>
    <w:rsid w:val="00957404"/>
    <w:rsid w:val="009578BA"/>
    <w:rsid w:val="00961CA6"/>
    <w:rsid w:val="009621E9"/>
    <w:rsid w:val="009624B2"/>
    <w:rsid w:val="009626C3"/>
    <w:rsid w:val="009635E0"/>
    <w:rsid w:val="0096394E"/>
    <w:rsid w:val="00965220"/>
    <w:rsid w:val="00966146"/>
    <w:rsid w:val="00966614"/>
    <w:rsid w:val="00966BF1"/>
    <w:rsid w:val="00972063"/>
    <w:rsid w:val="00972E16"/>
    <w:rsid w:val="00977908"/>
    <w:rsid w:val="009809F8"/>
    <w:rsid w:val="009819EC"/>
    <w:rsid w:val="00981E0D"/>
    <w:rsid w:val="009841A8"/>
    <w:rsid w:val="00985C09"/>
    <w:rsid w:val="009906A4"/>
    <w:rsid w:val="009912A1"/>
    <w:rsid w:val="0099345F"/>
    <w:rsid w:val="00993763"/>
    <w:rsid w:val="009970C0"/>
    <w:rsid w:val="009A200D"/>
    <w:rsid w:val="009A33EF"/>
    <w:rsid w:val="009A4853"/>
    <w:rsid w:val="009A597F"/>
    <w:rsid w:val="009A7007"/>
    <w:rsid w:val="009A7227"/>
    <w:rsid w:val="009B4FCA"/>
    <w:rsid w:val="009B6F0C"/>
    <w:rsid w:val="009C0ABE"/>
    <w:rsid w:val="009C12EE"/>
    <w:rsid w:val="009C2999"/>
    <w:rsid w:val="009C334A"/>
    <w:rsid w:val="009C3CC3"/>
    <w:rsid w:val="009C48E1"/>
    <w:rsid w:val="009C6070"/>
    <w:rsid w:val="009D080D"/>
    <w:rsid w:val="009D12AC"/>
    <w:rsid w:val="009D2032"/>
    <w:rsid w:val="009D64C6"/>
    <w:rsid w:val="009D676C"/>
    <w:rsid w:val="009D746F"/>
    <w:rsid w:val="009E01B2"/>
    <w:rsid w:val="009E0BBB"/>
    <w:rsid w:val="009E35A9"/>
    <w:rsid w:val="009E3C07"/>
    <w:rsid w:val="009F0C8C"/>
    <w:rsid w:val="00A000FC"/>
    <w:rsid w:val="00A004B2"/>
    <w:rsid w:val="00A0064F"/>
    <w:rsid w:val="00A01C22"/>
    <w:rsid w:val="00A065C9"/>
    <w:rsid w:val="00A07DF3"/>
    <w:rsid w:val="00A110CC"/>
    <w:rsid w:val="00A1217D"/>
    <w:rsid w:val="00A15053"/>
    <w:rsid w:val="00A17392"/>
    <w:rsid w:val="00A217CC"/>
    <w:rsid w:val="00A21989"/>
    <w:rsid w:val="00A21A62"/>
    <w:rsid w:val="00A22343"/>
    <w:rsid w:val="00A228C3"/>
    <w:rsid w:val="00A23685"/>
    <w:rsid w:val="00A243AE"/>
    <w:rsid w:val="00A327A4"/>
    <w:rsid w:val="00A334B9"/>
    <w:rsid w:val="00A33981"/>
    <w:rsid w:val="00A350CA"/>
    <w:rsid w:val="00A412ED"/>
    <w:rsid w:val="00A45331"/>
    <w:rsid w:val="00A517BC"/>
    <w:rsid w:val="00A5649B"/>
    <w:rsid w:val="00A567A3"/>
    <w:rsid w:val="00A6071B"/>
    <w:rsid w:val="00A64260"/>
    <w:rsid w:val="00A6536F"/>
    <w:rsid w:val="00A65C1D"/>
    <w:rsid w:val="00A6655B"/>
    <w:rsid w:val="00A6748E"/>
    <w:rsid w:val="00A70FEC"/>
    <w:rsid w:val="00A7592A"/>
    <w:rsid w:val="00A7733D"/>
    <w:rsid w:val="00A81038"/>
    <w:rsid w:val="00A91713"/>
    <w:rsid w:val="00A92347"/>
    <w:rsid w:val="00A92ED2"/>
    <w:rsid w:val="00AA0522"/>
    <w:rsid w:val="00AA35A7"/>
    <w:rsid w:val="00AA4A6D"/>
    <w:rsid w:val="00AA5E4F"/>
    <w:rsid w:val="00AA6C00"/>
    <w:rsid w:val="00AB0B68"/>
    <w:rsid w:val="00AB0F2B"/>
    <w:rsid w:val="00AB2703"/>
    <w:rsid w:val="00AB2BD9"/>
    <w:rsid w:val="00AB3D28"/>
    <w:rsid w:val="00AC0BEA"/>
    <w:rsid w:val="00AC29BA"/>
    <w:rsid w:val="00AC7616"/>
    <w:rsid w:val="00AC7849"/>
    <w:rsid w:val="00AD2235"/>
    <w:rsid w:val="00AE404D"/>
    <w:rsid w:val="00AE6A5D"/>
    <w:rsid w:val="00AE7955"/>
    <w:rsid w:val="00AE7AC1"/>
    <w:rsid w:val="00AF28C4"/>
    <w:rsid w:val="00AF3A5F"/>
    <w:rsid w:val="00AF5A25"/>
    <w:rsid w:val="00AF6409"/>
    <w:rsid w:val="00AF68D5"/>
    <w:rsid w:val="00AF7098"/>
    <w:rsid w:val="00AF7950"/>
    <w:rsid w:val="00B00EEA"/>
    <w:rsid w:val="00B01962"/>
    <w:rsid w:val="00B027CB"/>
    <w:rsid w:val="00B05135"/>
    <w:rsid w:val="00B11260"/>
    <w:rsid w:val="00B11BAC"/>
    <w:rsid w:val="00B12386"/>
    <w:rsid w:val="00B1280E"/>
    <w:rsid w:val="00B1376A"/>
    <w:rsid w:val="00B15D75"/>
    <w:rsid w:val="00B16ADB"/>
    <w:rsid w:val="00B171CE"/>
    <w:rsid w:val="00B17A42"/>
    <w:rsid w:val="00B2041F"/>
    <w:rsid w:val="00B221C1"/>
    <w:rsid w:val="00B228FF"/>
    <w:rsid w:val="00B247BD"/>
    <w:rsid w:val="00B24853"/>
    <w:rsid w:val="00B25DC1"/>
    <w:rsid w:val="00B30E30"/>
    <w:rsid w:val="00B334C7"/>
    <w:rsid w:val="00B3392E"/>
    <w:rsid w:val="00B35725"/>
    <w:rsid w:val="00B37BA0"/>
    <w:rsid w:val="00B41956"/>
    <w:rsid w:val="00B41A5C"/>
    <w:rsid w:val="00B4217F"/>
    <w:rsid w:val="00B42F7E"/>
    <w:rsid w:val="00B453E8"/>
    <w:rsid w:val="00B46A6F"/>
    <w:rsid w:val="00B53E03"/>
    <w:rsid w:val="00B55DEC"/>
    <w:rsid w:val="00B603E2"/>
    <w:rsid w:val="00B61250"/>
    <w:rsid w:val="00B61403"/>
    <w:rsid w:val="00B63F93"/>
    <w:rsid w:val="00B6400B"/>
    <w:rsid w:val="00B7022F"/>
    <w:rsid w:val="00B802F2"/>
    <w:rsid w:val="00B81993"/>
    <w:rsid w:val="00B81CE7"/>
    <w:rsid w:val="00B81CF2"/>
    <w:rsid w:val="00B8324F"/>
    <w:rsid w:val="00B853B4"/>
    <w:rsid w:val="00B87834"/>
    <w:rsid w:val="00B93EA4"/>
    <w:rsid w:val="00B94467"/>
    <w:rsid w:val="00B979BF"/>
    <w:rsid w:val="00BA2234"/>
    <w:rsid w:val="00BA3268"/>
    <w:rsid w:val="00BA3FBC"/>
    <w:rsid w:val="00BA7585"/>
    <w:rsid w:val="00BB0C95"/>
    <w:rsid w:val="00BB2F55"/>
    <w:rsid w:val="00BB3BF1"/>
    <w:rsid w:val="00BB5889"/>
    <w:rsid w:val="00BB5DBD"/>
    <w:rsid w:val="00BC1808"/>
    <w:rsid w:val="00BC4BEC"/>
    <w:rsid w:val="00BD1149"/>
    <w:rsid w:val="00BD2209"/>
    <w:rsid w:val="00BD5452"/>
    <w:rsid w:val="00BD5655"/>
    <w:rsid w:val="00BE358E"/>
    <w:rsid w:val="00BE687A"/>
    <w:rsid w:val="00BF419F"/>
    <w:rsid w:val="00BF6584"/>
    <w:rsid w:val="00BF7C59"/>
    <w:rsid w:val="00C02073"/>
    <w:rsid w:val="00C03619"/>
    <w:rsid w:val="00C0565C"/>
    <w:rsid w:val="00C12371"/>
    <w:rsid w:val="00C127B8"/>
    <w:rsid w:val="00C157AE"/>
    <w:rsid w:val="00C17082"/>
    <w:rsid w:val="00C2306A"/>
    <w:rsid w:val="00C2468F"/>
    <w:rsid w:val="00C24A26"/>
    <w:rsid w:val="00C27B38"/>
    <w:rsid w:val="00C3077A"/>
    <w:rsid w:val="00C31340"/>
    <w:rsid w:val="00C31E65"/>
    <w:rsid w:val="00C35F5D"/>
    <w:rsid w:val="00C41128"/>
    <w:rsid w:val="00C44A3F"/>
    <w:rsid w:val="00C46CDF"/>
    <w:rsid w:val="00C53770"/>
    <w:rsid w:val="00C559EB"/>
    <w:rsid w:val="00C56719"/>
    <w:rsid w:val="00C6400C"/>
    <w:rsid w:val="00C646E3"/>
    <w:rsid w:val="00C65797"/>
    <w:rsid w:val="00C668EF"/>
    <w:rsid w:val="00C67B32"/>
    <w:rsid w:val="00C75427"/>
    <w:rsid w:val="00C82CCB"/>
    <w:rsid w:val="00C8382F"/>
    <w:rsid w:val="00C86928"/>
    <w:rsid w:val="00C8790E"/>
    <w:rsid w:val="00C906A9"/>
    <w:rsid w:val="00C9122A"/>
    <w:rsid w:val="00C91288"/>
    <w:rsid w:val="00C921C5"/>
    <w:rsid w:val="00C9233F"/>
    <w:rsid w:val="00C945B5"/>
    <w:rsid w:val="00C96410"/>
    <w:rsid w:val="00C97A2A"/>
    <w:rsid w:val="00C97E74"/>
    <w:rsid w:val="00CA3408"/>
    <w:rsid w:val="00CA5ED0"/>
    <w:rsid w:val="00CB099D"/>
    <w:rsid w:val="00CB0CC7"/>
    <w:rsid w:val="00CB1B0F"/>
    <w:rsid w:val="00CB1F42"/>
    <w:rsid w:val="00CB5251"/>
    <w:rsid w:val="00CB6E5A"/>
    <w:rsid w:val="00CC0D2C"/>
    <w:rsid w:val="00CC1AE0"/>
    <w:rsid w:val="00CC1AE9"/>
    <w:rsid w:val="00CC2917"/>
    <w:rsid w:val="00CC69BB"/>
    <w:rsid w:val="00CC69F7"/>
    <w:rsid w:val="00CC71F9"/>
    <w:rsid w:val="00CC7ED1"/>
    <w:rsid w:val="00CD05C2"/>
    <w:rsid w:val="00CD3417"/>
    <w:rsid w:val="00CD5071"/>
    <w:rsid w:val="00CD5A2A"/>
    <w:rsid w:val="00CE4EA6"/>
    <w:rsid w:val="00CE4F0C"/>
    <w:rsid w:val="00CF0051"/>
    <w:rsid w:val="00CF0E12"/>
    <w:rsid w:val="00CF1D23"/>
    <w:rsid w:val="00CF38DC"/>
    <w:rsid w:val="00CF5785"/>
    <w:rsid w:val="00D01EF1"/>
    <w:rsid w:val="00D03278"/>
    <w:rsid w:val="00D20906"/>
    <w:rsid w:val="00D20C21"/>
    <w:rsid w:val="00D22191"/>
    <w:rsid w:val="00D2282A"/>
    <w:rsid w:val="00D243DB"/>
    <w:rsid w:val="00D2783C"/>
    <w:rsid w:val="00D2794A"/>
    <w:rsid w:val="00D3012B"/>
    <w:rsid w:val="00D333B9"/>
    <w:rsid w:val="00D33CCC"/>
    <w:rsid w:val="00D34C8C"/>
    <w:rsid w:val="00D366D1"/>
    <w:rsid w:val="00D418BE"/>
    <w:rsid w:val="00D41BF0"/>
    <w:rsid w:val="00D42C90"/>
    <w:rsid w:val="00D44F83"/>
    <w:rsid w:val="00D477F0"/>
    <w:rsid w:val="00D500F2"/>
    <w:rsid w:val="00D502E4"/>
    <w:rsid w:val="00D545F1"/>
    <w:rsid w:val="00D557FB"/>
    <w:rsid w:val="00D5603E"/>
    <w:rsid w:val="00D56185"/>
    <w:rsid w:val="00D57A50"/>
    <w:rsid w:val="00D60743"/>
    <w:rsid w:val="00D60CEC"/>
    <w:rsid w:val="00D63C8E"/>
    <w:rsid w:val="00D64581"/>
    <w:rsid w:val="00D708D8"/>
    <w:rsid w:val="00D71B3A"/>
    <w:rsid w:val="00D73951"/>
    <w:rsid w:val="00D741B3"/>
    <w:rsid w:val="00D741BE"/>
    <w:rsid w:val="00D744C8"/>
    <w:rsid w:val="00D75115"/>
    <w:rsid w:val="00D763EA"/>
    <w:rsid w:val="00D81626"/>
    <w:rsid w:val="00D81DE2"/>
    <w:rsid w:val="00D82DB9"/>
    <w:rsid w:val="00D834A0"/>
    <w:rsid w:val="00D8429A"/>
    <w:rsid w:val="00D84355"/>
    <w:rsid w:val="00D90767"/>
    <w:rsid w:val="00D92EDA"/>
    <w:rsid w:val="00D9307C"/>
    <w:rsid w:val="00D934E7"/>
    <w:rsid w:val="00D93573"/>
    <w:rsid w:val="00D93F03"/>
    <w:rsid w:val="00D97923"/>
    <w:rsid w:val="00DA4FCD"/>
    <w:rsid w:val="00DA5AC9"/>
    <w:rsid w:val="00DA6E59"/>
    <w:rsid w:val="00DA7CE2"/>
    <w:rsid w:val="00DB02D5"/>
    <w:rsid w:val="00DB2A62"/>
    <w:rsid w:val="00DB33C4"/>
    <w:rsid w:val="00DB553A"/>
    <w:rsid w:val="00DB68DA"/>
    <w:rsid w:val="00DC1B76"/>
    <w:rsid w:val="00DC55E7"/>
    <w:rsid w:val="00DC5F1D"/>
    <w:rsid w:val="00DC7104"/>
    <w:rsid w:val="00DD002F"/>
    <w:rsid w:val="00DD13BB"/>
    <w:rsid w:val="00DD2517"/>
    <w:rsid w:val="00DD2AEC"/>
    <w:rsid w:val="00DD6219"/>
    <w:rsid w:val="00DD7B17"/>
    <w:rsid w:val="00DE023F"/>
    <w:rsid w:val="00DE07B2"/>
    <w:rsid w:val="00DE59A6"/>
    <w:rsid w:val="00DF0C86"/>
    <w:rsid w:val="00DF0CCF"/>
    <w:rsid w:val="00DF104E"/>
    <w:rsid w:val="00DF23B3"/>
    <w:rsid w:val="00DF270E"/>
    <w:rsid w:val="00DF4511"/>
    <w:rsid w:val="00DF6628"/>
    <w:rsid w:val="00DF6B34"/>
    <w:rsid w:val="00E00D97"/>
    <w:rsid w:val="00E028E7"/>
    <w:rsid w:val="00E03699"/>
    <w:rsid w:val="00E04063"/>
    <w:rsid w:val="00E062CE"/>
    <w:rsid w:val="00E1240D"/>
    <w:rsid w:val="00E137E7"/>
    <w:rsid w:val="00E14E2E"/>
    <w:rsid w:val="00E151EB"/>
    <w:rsid w:val="00E16DE8"/>
    <w:rsid w:val="00E2042B"/>
    <w:rsid w:val="00E20B4B"/>
    <w:rsid w:val="00E22492"/>
    <w:rsid w:val="00E26CD0"/>
    <w:rsid w:val="00E33612"/>
    <w:rsid w:val="00E33A67"/>
    <w:rsid w:val="00E353F4"/>
    <w:rsid w:val="00E400C5"/>
    <w:rsid w:val="00E41843"/>
    <w:rsid w:val="00E437EB"/>
    <w:rsid w:val="00E43919"/>
    <w:rsid w:val="00E44E38"/>
    <w:rsid w:val="00E46640"/>
    <w:rsid w:val="00E46E86"/>
    <w:rsid w:val="00E50320"/>
    <w:rsid w:val="00E52B41"/>
    <w:rsid w:val="00E52DFE"/>
    <w:rsid w:val="00E545EB"/>
    <w:rsid w:val="00E54880"/>
    <w:rsid w:val="00E6036E"/>
    <w:rsid w:val="00E616C5"/>
    <w:rsid w:val="00E636EA"/>
    <w:rsid w:val="00E63E4E"/>
    <w:rsid w:val="00E65D9E"/>
    <w:rsid w:val="00E719C4"/>
    <w:rsid w:val="00E75C34"/>
    <w:rsid w:val="00E80D5D"/>
    <w:rsid w:val="00E80D92"/>
    <w:rsid w:val="00E8353D"/>
    <w:rsid w:val="00E84F37"/>
    <w:rsid w:val="00E92B7E"/>
    <w:rsid w:val="00E9477D"/>
    <w:rsid w:val="00E96195"/>
    <w:rsid w:val="00E96CE1"/>
    <w:rsid w:val="00EA5DBC"/>
    <w:rsid w:val="00EA602F"/>
    <w:rsid w:val="00EA7272"/>
    <w:rsid w:val="00EB14B5"/>
    <w:rsid w:val="00EB2BCA"/>
    <w:rsid w:val="00EB2CB6"/>
    <w:rsid w:val="00EB5179"/>
    <w:rsid w:val="00EB6E47"/>
    <w:rsid w:val="00EB76D1"/>
    <w:rsid w:val="00EC29AB"/>
    <w:rsid w:val="00ED0C23"/>
    <w:rsid w:val="00ED3BBE"/>
    <w:rsid w:val="00ED5FAA"/>
    <w:rsid w:val="00EE6550"/>
    <w:rsid w:val="00EF386E"/>
    <w:rsid w:val="00EF42C5"/>
    <w:rsid w:val="00F002C1"/>
    <w:rsid w:val="00F00AA1"/>
    <w:rsid w:val="00F07698"/>
    <w:rsid w:val="00F101D9"/>
    <w:rsid w:val="00F14B02"/>
    <w:rsid w:val="00F1646D"/>
    <w:rsid w:val="00F2050F"/>
    <w:rsid w:val="00F20B9C"/>
    <w:rsid w:val="00F2245D"/>
    <w:rsid w:val="00F26C57"/>
    <w:rsid w:val="00F26DDF"/>
    <w:rsid w:val="00F27583"/>
    <w:rsid w:val="00F305AB"/>
    <w:rsid w:val="00F31455"/>
    <w:rsid w:val="00F33011"/>
    <w:rsid w:val="00F33C29"/>
    <w:rsid w:val="00F376E3"/>
    <w:rsid w:val="00F4035A"/>
    <w:rsid w:val="00F43158"/>
    <w:rsid w:val="00F4565F"/>
    <w:rsid w:val="00F5206B"/>
    <w:rsid w:val="00F541AD"/>
    <w:rsid w:val="00F55A34"/>
    <w:rsid w:val="00F56C29"/>
    <w:rsid w:val="00F57507"/>
    <w:rsid w:val="00F63A06"/>
    <w:rsid w:val="00F6664C"/>
    <w:rsid w:val="00F6795A"/>
    <w:rsid w:val="00F706EC"/>
    <w:rsid w:val="00F70CFD"/>
    <w:rsid w:val="00F76D0E"/>
    <w:rsid w:val="00F81441"/>
    <w:rsid w:val="00F81AA6"/>
    <w:rsid w:val="00F83147"/>
    <w:rsid w:val="00F9134D"/>
    <w:rsid w:val="00F91892"/>
    <w:rsid w:val="00F93F20"/>
    <w:rsid w:val="00F95D10"/>
    <w:rsid w:val="00FA1D5D"/>
    <w:rsid w:val="00FA7D45"/>
    <w:rsid w:val="00FB061F"/>
    <w:rsid w:val="00FB7E3C"/>
    <w:rsid w:val="00FC0885"/>
    <w:rsid w:val="00FC4A96"/>
    <w:rsid w:val="00FC5078"/>
    <w:rsid w:val="00FC517A"/>
    <w:rsid w:val="00FC51D3"/>
    <w:rsid w:val="00FC6084"/>
    <w:rsid w:val="00FC6ED4"/>
    <w:rsid w:val="00FD2888"/>
    <w:rsid w:val="00FD3F8F"/>
    <w:rsid w:val="00FD4DFB"/>
    <w:rsid w:val="00FD53E8"/>
    <w:rsid w:val="00FD5460"/>
    <w:rsid w:val="00FD7FFD"/>
    <w:rsid w:val="00FE10E4"/>
    <w:rsid w:val="00FE3EAA"/>
    <w:rsid w:val="00FE599C"/>
    <w:rsid w:val="00FE6AE6"/>
    <w:rsid w:val="00FF0428"/>
    <w:rsid w:val="00FF0595"/>
    <w:rsid w:val="00FF05F0"/>
    <w:rsid w:val="00FF0C1B"/>
    <w:rsid w:val="00FF2403"/>
    <w:rsid w:val="2DA93C52"/>
    <w:rsid w:val="56BD287A"/>
    <w:rsid w:val="6C3804F7"/>
    <w:rsid w:val="736335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17"/>
    <w:qFormat/>
    <w:uiPriority w:val="0"/>
    <w:pPr>
      <w:keepNext/>
      <w:keepLines/>
      <w:spacing w:before="260" w:after="260" w:line="416" w:lineRule="auto"/>
      <w:outlineLvl w:val="2"/>
    </w:pPr>
    <w:rPr>
      <w:b/>
      <w:bCs/>
      <w:sz w:val="32"/>
      <w:szCs w:val="32"/>
    </w:rPr>
  </w:style>
  <w:style w:type="character" w:default="1" w:styleId="13">
    <w:name w:val="Default Paragraph Font"/>
    <w:semiHidden/>
    <w:unhideWhenUsed/>
    <w:qFormat/>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2">
    <w:name w:val="Normal Indent"/>
    <w:basedOn w:val="1"/>
    <w:link w:val="18"/>
    <w:uiPriority w:val="0"/>
    <w:pPr>
      <w:tabs>
        <w:tab w:val="left" w:pos="4648"/>
      </w:tabs>
      <w:spacing w:after="0" w:line="360" w:lineRule="auto"/>
      <w:ind w:firstLine="480" w:firstLineChars="200"/>
    </w:pPr>
    <w:rPr>
      <w:kern w:val="0"/>
      <w:sz w:val="24"/>
      <w:szCs w:val="20"/>
    </w:rPr>
  </w:style>
  <w:style w:type="paragraph" w:styleId="5">
    <w:name w:val="Body Text"/>
    <w:basedOn w:val="1"/>
    <w:qFormat/>
    <w:uiPriority w:val="0"/>
    <w:pPr>
      <w:spacing w:after="120"/>
    </w:pPr>
  </w:style>
  <w:style w:type="paragraph" w:styleId="6">
    <w:name w:val="Date"/>
    <w:basedOn w:val="1"/>
    <w:next w:val="1"/>
    <w:link w:val="30"/>
    <w:qFormat/>
    <w:uiPriority w:val="0"/>
    <w:pPr>
      <w:ind w:left="100" w:leftChars="2500"/>
    </w:pPr>
  </w:style>
  <w:style w:type="paragraph" w:styleId="7">
    <w:name w:val="Balloon Text"/>
    <w:basedOn w:val="1"/>
    <w:link w:val="31"/>
    <w:qFormat/>
    <w:uiPriority w:val="0"/>
    <w:rPr>
      <w:sz w:val="18"/>
      <w:szCs w:val="18"/>
    </w:r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Body Text First Indent"/>
    <w:basedOn w:val="5"/>
    <w:qFormat/>
    <w:uiPriority w:val="0"/>
    <w:pPr>
      <w:ind w:firstLine="420" w:firstLineChars="100"/>
    </w:p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page number"/>
    <w:basedOn w:val="13"/>
    <w:uiPriority w:val="0"/>
  </w:style>
  <w:style w:type="character" w:styleId="15">
    <w:name w:val="FollowedHyperlink"/>
    <w:unhideWhenUsed/>
    <w:qFormat/>
    <w:uiPriority w:val="99"/>
    <w:rPr>
      <w:color w:val="800080"/>
      <w:u w:val="single"/>
    </w:rPr>
  </w:style>
  <w:style w:type="character" w:styleId="16">
    <w:name w:val="Hyperlink"/>
    <w:unhideWhenUsed/>
    <w:qFormat/>
    <w:uiPriority w:val="99"/>
    <w:rPr>
      <w:color w:val="0000FF"/>
      <w:u w:val="single"/>
    </w:rPr>
  </w:style>
  <w:style w:type="character" w:customStyle="1" w:styleId="17">
    <w:name w:val="标题 3 Char"/>
    <w:link w:val="4"/>
    <w:uiPriority w:val="0"/>
    <w:rPr>
      <w:rFonts w:eastAsia="宋体"/>
      <w:b/>
      <w:bCs/>
      <w:kern w:val="2"/>
      <w:sz w:val="32"/>
      <w:szCs w:val="32"/>
      <w:lang w:val="en-US" w:eastAsia="zh-CN" w:bidi="ar-SA"/>
    </w:rPr>
  </w:style>
  <w:style w:type="character" w:customStyle="1" w:styleId="18">
    <w:name w:val="正文缩进 Char2"/>
    <w:link w:val="2"/>
    <w:qFormat/>
    <w:uiPriority w:val="0"/>
    <w:rPr>
      <w:rFonts w:eastAsia="宋体"/>
      <w:sz w:val="24"/>
      <w:lang w:val="en-US" w:eastAsia="zh-CN" w:bidi="ar-SA"/>
    </w:rPr>
  </w:style>
  <w:style w:type="character" w:customStyle="1" w:styleId="19">
    <w:name w:val="表头 Char"/>
    <w:link w:val="20"/>
    <w:qFormat/>
    <w:uiPriority w:val="0"/>
    <w:rPr>
      <w:rFonts w:ascii="黑体" w:eastAsia="黑体"/>
      <w:b/>
      <w:sz w:val="21"/>
      <w:lang w:val="en-US" w:eastAsia="zh-CN" w:bidi="ar-SA"/>
    </w:rPr>
  </w:style>
  <w:style w:type="paragraph" w:customStyle="1" w:styleId="20">
    <w:name w:val="表头"/>
    <w:basedOn w:val="1"/>
    <w:link w:val="19"/>
    <w:qFormat/>
    <w:uiPriority w:val="0"/>
    <w:pPr>
      <w:tabs>
        <w:tab w:val="left" w:pos="6418"/>
      </w:tabs>
      <w:spacing w:before="156" w:beforeLines="50" w:after="156" w:afterLines="50"/>
      <w:jc w:val="center"/>
    </w:pPr>
    <w:rPr>
      <w:rFonts w:ascii="黑体" w:eastAsia="黑体"/>
      <w:b/>
      <w:kern w:val="0"/>
      <w:szCs w:val="20"/>
    </w:rPr>
  </w:style>
  <w:style w:type="paragraph" w:customStyle="1" w:styleId="21">
    <w:name w:val="标准"/>
    <w:basedOn w:val="1"/>
    <w:qFormat/>
    <w:uiPriority w:val="0"/>
    <w:pPr>
      <w:adjustRightInd w:val="0"/>
      <w:spacing w:line="312" w:lineRule="atLeast"/>
      <w:jc w:val="center"/>
      <w:textAlignment w:val="baseline"/>
    </w:pPr>
    <w:rPr>
      <w:kern w:val="0"/>
      <w:szCs w:val="20"/>
    </w:rPr>
  </w:style>
  <w:style w:type="paragraph" w:customStyle="1" w:styleId="22">
    <w:name w:val="xl26"/>
    <w:basedOn w:val="1"/>
    <w:qFormat/>
    <w:uiPriority w:val="0"/>
    <w:pPr>
      <w:widowControl/>
      <w:pBdr>
        <w:bottom w:val="single" w:color="auto" w:sz="4" w:space="0"/>
        <w:right w:val="single" w:color="auto" w:sz="4" w:space="0"/>
      </w:pBdr>
      <w:spacing w:before="100" w:after="100"/>
      <w:jc w:val="center"/>
      <w:textAlignment w:val="top"/>
    </w:pPr>
    <w:rPr>
      <w:kern w:val="0"/>
      <w:szCs w:val="20"/>
    </w:rPr>
  </w:style>
  <w:style w:type="paragraph" w:customStyle="1" w:styleId="23">
    <w:name w:val="表内样式"/>
    <w:basedOn w:val="1"/>
    <w:next w:val="1"/>
    <w:qFormat/>
    <w:uiPriority w:val="0"/>
    <w:pPr>
      <w:jc w:val="center"/>
    </w:pPr>
    <w:rPr>
      <w:kern w:val="0"/>
    </w:rPr>
  </w:style>
  <w:style w:type="character" w:customStyle="1" w:styleId="24">
    <w:name w:val="正文缩进 Char"/>
    <w:qFormat/>
    <w:uiPriority w:val="0"/>
    <w:rPr>
      <w:rFonts w:eastAsia="宋体"/>
      <w:sz w:val="24"/>
      <w:szCs w:val="24"/>
      <w:lang w:val="en-US" w:eastAsia="zh-CN" w:bidi="ar-SA"/>
    </w:rPr>
  </w:style>
  <w:style w:type="paragraph" w:customStyle="1" w:styleId="25">
    <w:name w:val="HP正文"/>
    <w:basedOn w:val="1"/>
    <w:link w:val="26"/>
    <w:qFormat/>
    <w:uiPriority w:val="0"/>
    <w:pPr>
      <w:spacing w:line="360" w:lineRule="auto"/>
      <w:ind w:firstLine="480" w:firstLineChars="200"/>
    </w:pPr>
    <w:rPr>
      <w:sz w:val="24"/>
      <w:lang w:val="zh-CN" w:eastAsia="zh-CN"/>
    </w:rPr>
  </w:style>
  <w:style w:type="character" w:customStyle="1" w:styleId="26">
    <w:name w:val="HP正文 Char"/>
    <w:link w:val="25"/>
    <w:qFormat/>
    <w:uiPriority w:val="0"/>
    <w:rPr>
      <w:kern w:val="2"/>
      <w:sz w:val="24"/>
      <w:szCs w:val="24"/>
    </w:rPr>
  </w:style>
  <w:style w:type="paragraph" w:customStyle="1" w:styleId="27">
    <w:name w:val="表格"/>
    <w:basedOn w:val="1"/>
    <w:qFormat/>
    <w:uiPriority w:val="0"/>
    <w:pPr>
      <w:adjustRightInd w:val="0"/>
      <w:snapToGrid w:val="0"/>
      <w:jc w:val="center"/>
      <w:textAlignment w:val="baseline"/>
    </w:pPr>
    <w:rPr>
      <w:rFonts w:eastAsia="仿宋_GB2312"/>
      <w:kern w:val="0"/>
      <w:sz w:val="24"/>
      <w:szCs w:val="20"/>
    </w:rPr>
  </w:style>
  <w:style w:type="paragraph" w:customStyle="1" w:styleId="28">
    <w:name w:val="Char Char Char Char Char Char"/>
    <w:basedOn w:val="1"/>
    <w:qFormat/>
    <w:uiPriority w:val="0"/>
    <w:rPr>
      <w:sz w:val="24"/>
    </w:rPr>
  </w:style>
  <w:style w:type="paragraph" w:customStyle="1" w:styleId="29">
    <w:name w:val="CEE正文"/>
    <w:basedOn w:val="1"/>
    <w:qFormat/>
    <w:uiPriority w:val="0"/>
    <w:pPr>
      <w:spacing w:line="312" w:lineRule="auto"/>
      <w:ind w:firstLine="200" w:firstLineChars="200"/>
    </w:pPr>
    <w:rPr>
      <w:rFonts w:ascii="Calibri" w:hAnsi="Calibri"/>
      <w:sz w:val="24"/>
    </w:rPr>
  </w:style>
  <w:style w:type="character" w:customStyle="1" w:styleId="30">
    <w:name w:val="日期 Char"/>
    <w:link w:val="6"/>
    <w:qFormat/>
    <w:uiPriority w:val="0"/>
    <w:rPr>
      <w:kern w:val="2"/>
      <w:sz w:val="21"/>
      <w:szCs w:val="24"/>
    </w:rPr>
  </w:style>
  <w:style w:type="character" w:customStyle="1" w:styleId="31">
    <w:name w:val="批注框文本 Char"/>
    <w:link w:val="7"/>
    <w:qFormat/>
    <w:uiPriority w:val="0"/>
    <w:rPr>
      <w:kern w:val="2"/>
      <w:sz w:val="18"/>
      <w:szCs w:val="18"/>
    </w:rPr>
  </w:style>
  <w:style w:type="character" w:customStyle="1" w:styleId="32">
    <w:name w:val="Unresolved Mention"/>
    <w:basedOn w:val="13"/>
    <w:semiHidden/>
    <w:unhideWhenUsed/>
    <w:qFormat/>
    <w:uiPriority w:val="99"/>
    <w:rPr>
      <w:color w:val="605E5C"/>
      <w:shd w:val="clear" w:color="auto" w:fill="E1DFDD"/>
    </w:rPr>
  </w:style>
  <w:style w:type="paragraph" w:customStyle="1" w:styleId="33">
    <w:name w:val="页眉XXD"/>
    <w:basedOn w:val="1"/>
    <w:link w:val="34"/>
    <w:qFormat/>
    <w:uiPriority w:val="0"/>
    <w:pPr>
      <w:pBdr>
        <w:bottom w:val="single" w:color="auto" w:sz="6" w:space="1"/>
      </w:pBdr>
      <w:tabs>
        <w:tab w:val="right" w:pos="8222"/>
      </w:tabs>
      <w:adjustRightInd w:val="0"/>
      <w:snapToGrid w:val="0"/>
    </w:pPr>
    <w:rPr>
      <w:rFonts w:cstheme="minorBidi"/>
      <w:snapToGrid w:val="0"/>
      <w:color w:val="000000"/>
      <w:kern w:val="0"/>
      <w:sz w:val="18"/>
      <w:szCs w:val="15"/>
    </w:rPr>
  </w:style>
  <w:style w:type="character" w:customStyle="1" w:styleId="34">
    <w:name w:val="页眉XXD Char"/>
    <w:basedOn w:val="13"/>
    <w:link w:val="33"/>
    <w:qFormat/>
    <w:uiPriority w:val="0"/>
    <w:rPr>
      <w:rFonts w:cstheme="minorBidi"/>
      <w:snapToGrid w:val="0"/>
      <w:color w:val="000000"/>
      <w:sz w:val="18"/>
      <w:szCs w:val="15"/>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customXml" Target="../customXml/item1.xml"/><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447A734-30FE-43C9-A0A8-85F4B77F4340}">
  <ds:schemaRefs/>
</ds:datastoreItem>
</file>

<file path=docProps/app.xml><?xml version="1.0" encoding="utf-8"?>
<Properties xmlns="http://schemas.openxmlformats.org/officeDocument/2006/extended-properties" xmlns:vt="http://schemas.openxmlformats.org/officeDocument/2006/docPropsVTypes">
  <Template>Normal</Template>
  <Company>WWW.YlmF.CoM</Company>
  <Pages>9</Pages>
  <Words>1812</Words>
  <Characters>2017</Characters>
  <Lines>21</Lines>
  <Paragraphs>5</Paragraphs>
  <TotalTime>1</TotalTime>
  <ScaleCrop>false</ScaleCrop>
  <LinksUpToDate>false</LinksUpToDate>
  <CharactersWithSpaces>2050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2019-06-06T05:51:00Z</dcterms:created>
  <dc:creator>l</dc:creator>
  <cp:lastModifiedBy>Summer1381554021</cp:lastModifiedBy>
  <cp:lastPrinted>2020-08-07T08:25:00Z</cp:lastPrinted>
  <dcterms:modified xsi:type="dcterms:W3CDTF">2023-03-15T13:05:09Z</dcterms:modified>
  <cp:revision>58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FDBB9000445C4D7C83D45E0F33211EC3</vt:lpwstr>
  </property>
</Properties>
</file>