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ind w:firstLine="1760" w:firstLineChars="400"/>
        <w:rPr>
          <w:rFonts w:ascii="黑体" w:hAnsi="黑体" w:eastAsia="黑体" w:cs="黑体"/>
          <w:b w:val="0"/>
          <w:bCs w:val="0"/>
          <w:sz w:val="44"/>
          <w:szCs w:val="44"/>
        </w:rPr>
      </w:pPr>
      <w:r>
        <w:rPr>
          <w:rFonts w:hint="eastAsia" w:ascii="华文中宋" w:hAnsi="华文中宋" w:eastAsia="华文中宋" w:cs="华文中宋"/>
          <w:sz w:val="44"/>
          <w:szCs w:val="44"/>
          <w:lang w:val="en-US" w:eastAsia="zh-CN"/>
        </w:rPr>
        <w:t>望奎县</w:t>
      </w:r>
      <w:r>
        <w:rPr>
          <w:rFonts w:hint="eastAsia" w:ascii="华文中宋" w:hAnsi="华文中宋" w:eastAsia="华文中宋" w:cs="华文中宋"/>
          <w:sz w:val="44"/>
          <w:szCs w:val="44"/>
        </w:rPr>
        <w:t>优化营商环境“百日攻坚</w:t>
      </w:r>
      <w:r>
        <w:rPr>
          <w:rFonts w:hint="eastAsia" w:ascii="华文中宋" w:hAnsi="华文中宋" w:eastAsia="华文中宋" w:cs="华文中宋"/>
          <w:sz w:val="44"/>
          <w:szCs w:val="44"/>
          <w:lang w:val="en-US" w:eastAsia="zh-CN"/>
        </w:rPr>
        <w:t>行动</w:t>
      </w:r>
      <w:r>
        <w:rPr>
          <w:rFonts w:hint="eastAsia" w:ascii="华文中宋" w:hAnsi="华文中宋" w:eastAsia="华文中宋" w:cs="华文中宋"/>
          <w:sz w:val="44"/>
          <w:szCs w:val="44"/>
        </w:rPr>
        <w:t>”</w:t>
      </w:r>
      <w:r>
        <w:rPr>
          <w:rFonts w:hint="eastAsia" w:ascii="华文中宋" w:hAnsi="华文中宋" w:eastAsia="华文中宋" w:cs="华文中宋"/>
          <w:sz w:val="44"/>
          <w:szCs w:val="44"/>
          <w:lang w:val="en-US" w:eastAsia="zh-CN"/>
        </w:rPr>
        <w:t>任务及责任清单</w:t>
      </w:r>
    </w:p>
    <w:tbl>
      <w:tblPr>
        <w:tblStyle w:val="6"/>
        <w:tblpPr w:leftFromText="180" w:rightFromText="180" w:vertAnchor="text" w:horzAnchor="page" w:tblpX="1513" w:tblpY="292"/>
        <w:tblOverlap w:val="never"/>
        <w:tblW w:w="13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62"/>
        <w:gridCol w:w="4854"/>
        <w:gridCol w:w="3764"/>
        <w:gridCol w:w="1146"/>
        <w:gridCol w:w="130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2" w:type="dxa"/>
            <w:vAlign w:val="center"/>
          </w:tcPr>
          <w:p>
            <w:pPr>
              <w:jc w:val="center"/>
              <w:rPr>
                <w:b/>
                <w:bCs/>
                <w:szCs w:val="21"/>
              </w:rPr>
            </w:pPr>
            <w:r>
              <w:rPr>
                <w:rFonts w:hint="eastAsia"/>
                <w:b/>
                <w:bCs/>
                <w:szCs w:val="21"/>
              </w:rPr>
              <w:t>序号</w:t>
            </w:r>
          </w:p>
        </w:tc>
        <w:tc>
          <w:tcPr>
            <w:tcW w:w="1162" w:type="dxa"/>
            <w:vAlign w:val="center"/>
          </w:tcPr>
          <w:p>
            <w:pPr>
              <w:jc w:val="center"/>
              <w:rPr>
                <w:b/>
                <w:bCs/>
                <w:szCs w:val="21"/>
              </w:rPr>
            </w:pPr>
            <w:r>
              <w:rPr>
                <w:rFonts w:hint="eastAsia"/>
                <w:b/>
                <w:bCs/>
                <w:szCs w:val="21"/>
                <w:lang w:val="en-US" w:eastAsia="zh-CN"/>
              </w:rPr>
              <w:t>评价</w:t>
            </w:r>
            <w:r>
              <w:rPr>
                <w:rFonts w:hint="eastAsia"/>
                <w:b/>
                <w:bCs/>
                <w:szCs w:val="21"/>
              </w:rPr>
              <w:t>指标</w:t>
            </w:r>
          </w:p>
        </w:tc>
        <w:tc>
          <w:tcPr>
            <w:tcW w:w="4854" w:type="dxa"/>
            <w:vAlign w:val="center"/>
          </w:tcPr>
          <w:p>
            <w:pPr>
              <w:ind w:firstLine="1265" w:firstLineChars="600"/>
              <w:jc w:val="center"/>
            </w:pPr>
            <w:r>
              <w:rPr>
                <w:rFonts w:hint="eastAsia"/>
                <w:b/>
                <w:bCs/>
                <w:szCs w:val="21"/>
                <w:lang w:val="en-US" w:eastAsia="zh-CN"/>
              </w:rPr>
              <w:t>主要</w:t>
            </w:r>
            <w:r>
              <w:rPr>
                <w:rFonts w:hint="eastAsia"/>
                <w:b/>
                <w:bCs/>
                <w:szCs w:val="21"/>
              </w:rPr>
              <w:t>措施</w:t>
            </w:r>
          </w:p>
        </w:tc>
        <w:tc>
          <w:tcPr>
            <w:tcW w:w="3764" w:type="dxa"/>
            <w:vAlign w:val="center"/>
          </w:tcPr>
          <w:p>
            <w:pPr>
              <w:ind w:firstLine="632" w:firstLineChars="300"/>
              <w:jc w:val="center"/>
            </w:pPr>
            <w:r>
              <w:rPr>
                <w:rFonts w:hint="eastAsia"/>
                <w:b/>
                <w:bCs/>
                <w:szCs w:val="21"/>
              </w:rPr>
              <w:t>提升目标</w:t>
            </w:r>
          </w:p>
        </w:tc>
        <w:tc>
          <w:tcPr>
            <w:tcW w:w="1146" w:type="dxa"/>
            <w:vAlign w:val="center"/>
          </w:tcPr>
          <w:p>
            <w:pPr>
              <w:jc w:val="center"/>
              <w:rPr>
                <w:b/>
                <w:bCs/>
                <w:szCs w:val="21"/>
              </w:rPr>
            </w:pPr>
            <w:r>
              <w:rPr>
                <w:rFonts w:hint="eastAsia"/>
                <w:b/>
                <w:bCs/>
                <w:szCs w:val="21"/>
                <w:lang w:val="en-US" w:eastAsia="zh-CN"/>
              </w:rPr>
              <w:t>牵头</w:t>
            </w:r>
            <w:r>
              <w:rPr>
                <w:rFonts w:hint="eastAsia"/>
                <w:b/>
                <w:bCs/>
                <w:szCs w:val="21"/>
              </w:rPr>
              <w:t>领导</w:t>
            </w:r>
          </w:p>
        </w:tc>
        <w:tc>
          <w:tcPr>
            <w:tcW w:w="1309" w:type="dxa"/>
            <w:vAlign w:val="center"/>
          </w:tcPr>
          <w:p>
            <w:pPr>
              <w:jc w:val="center"/>
              <w:rPr>
                <w:b/>
                <w:bCs/>
                <w:szCs w:val="21"/>
              </w:rPr>
            </w:pPr>
            <w:r>
              <w:rPr>
                <w:rFonts w:hint="eastAsia"/>
                <w:b/>
                <w:bCs/>
                <w:szCs w:val="21"/>
              </w:rPr>
              <w:t>牵头部门</w:t>
            </w:r>
          </w:p>
        </w:tc>
        <w:tc>
          <w:tcPr>
            <w:tcW w:w="1009" w:type="dxa"/>
            <w:vAlign w:val="center"/>
          </w:tcPr>
          <w:p>
            <w:pPr>
              <w:jc w:val="center"/>
              <w:rPr>
                <w:b/>
                <w:bCs/>
                <w:szCs w:val="21"/>
              </w:rPr>
            </w:pPr>
            <w:r>
              <w:rPr>
                <w:rFonts w:hint="eastAsia"/>
                <w:b/>
                <w:bCs/>
                <w:szCs w:val="21"/>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szCs w:val="21"/>
              </w:rPr>
            </w:pPr>
            <w:r>
              <w:rPr>
                <w:rFonts w:ascii="仿宋" w:hAnsi="仿宋" w:eastAsia="仿宋" w:cs="仿宋"/>
                <w:b/>
                <w:bCs/>
                <w:color w:val="000000"/>
                <w:kern w:val="0"/>
                <w:szCs w:val="21"/>
              </w:rPr>
              <w:t>1</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开办企业</w:t>
            </w:r>
          </w:p>
        </w:tc>
        <w:tc>
          <w:tcPr>
            <w:tcW w:w="4854" w:type="dxa"/>
            <w:vAlign w:val="top"/>
          </w:tcPr>
          <w:p>
            <w:r>
              <w:rPr>
                <w:rFonts w:hint="eastAsia" w:ascii="仿宋" w:hAnsi="仿宋" w:eastAsia="仿宋" w:cs="仿宋"/>
                <w:szCs w:val="21"/>
              </w:rPr>
              <w:t>统筹推进“先照后证”“证照分离”“多证合一”改革，依托政务信息共享平台，建立健全跨部门、跨层级、跨区域的部门间信息共享和技术协同机制。企业开办推行全程“网上办”，提高全程电子证照应用率。</w:t>
            </w:r>
            <w:r>
              <w:rPr>
                <w:rFonts w:hint="eastAsia" w:ascii="仿宋" w:hAnsi="仿宋" w:eastAsia="仿宋" w:cs="仿宋"/>
                <w:szCs w:val="21"/>
                <w:lang w:val="en-US" w:eastAsia="zh-CN"/>
              </w:rPr>
              <w:t>探索</w:t>
            </w:r>
            <w:r>
              <w:rPr>
                <w:rFonts w:hint="eastAsia" w:ascii="仿宋" w:hAnsi="仿宋" w:eastAsia="仿宋" w:cs="仿宋"/>
                <w:szCs w:val="21"/>
              </w:rPr>
              <w:t>由政府购买服务，降低企业开办成本；推行注册登记、公章刻制、税务申报环节同步并联办理，一窗受理。加快推进企业注销便利化改革。</w:t>
            </w:r>
          </w:p>
        </w:tc>
        <w:tc>
          <w:tcPr>
            <w:tcW w:w="3764" w:type="dxa"/>
            <w:vAlign w:val="top"/>
          </w:tcPr>
          <w:p>
            <w:r>
              <w:rPr>
                <w:rFonts w:hint="eastAsia" w:ascii="仿宋" w:hAnsi="仿宋" w:eastAsia="仿宋" w:cs="仿宋"/>
                <w:szCs w:val="21"/>
              </w:rPr>
              <w:t>简化开办企业手续；减少开办企业申请材料；开办企业时间压缩至</w:t>
            </w:r>
            <w:r>
              <w:rPr>
                <w:rFonts w:hint="eastAsia" w:ascii="仿宋" w:hAnsi="仿宋" w:eastAsia="仿宋" w:cs="仿宋"/>
                <w:szCs w:val="21"/>
                <w:lang w:val="en-US" w:eastAsia="zh-CN"/>
              </w:rPr>
              <w:t>2个工作日以内</w:t>
            </w:r>
            <w:r>
              <w:rPr>
                <w:rFonts w:hint="eastAsia" w:ascii="仿宋" w:hAnsi="仿宋" w:eastAsia="仿宋" w:cs="仿宋"/>
                <w:szCs w:val="21"/>
              </w:rPr>
              <w:t>；开办企业成本</w:t>
            </w:r>
            <w:r>
              <w:rPr>
                <w:rFonts w:ascii="仿宋" w:hAnsi="仿宋" w:eastAsia="仿宋" w:cs="仿宋"/>
                <w:szCs w:val="21"/>
              </w:rPr>
              <w:t>0</w:t>
            </w:r>
            <w:r>
              <w:rPr>
                <w:rFonts w:hint="eastAsia" w:ascii="仿宋" w:hAnsi="仿宋" w:eastAsia="仿宋" w:cs="仿宋"/>
                <w:szCs w:val="21"/>
              </w:rPr>
              <w:t>元；提升开办企业便利度。</w:t>
            </w:r>
            <w:r>
              <w:rPr>
                <w:rFonts w:hint="eastAsia" w:ascii="仿宋" w:hAnsi="仿宋" w:eastAsia="仿宋" w:cs="仿宋"/>
                <w:szCs w:val="21"/>
                <w:lang w:val="en-US" w:eastAsia="zh-CN"/>
              </w:rPr>
              <w:t>进一步提升</w:t>
            </w:r>
            <w:r>
              <w:rPr>
                <w:rFonts w:hint="eastAsia" w:ascii="仿宋" w:hAnsi="仿宋" w:eastAsia="仿宋" w:cs="仿宋"/>
                <w:szCs w:val="21"/>
              </w:rPr>
              <w:t>登记注册企业增长率</w:t>
            </w:r>
            <w:r>
              <w:rPr>
                <w:rFonts w:hint="eastAsia" w:ascii="仿宋" w:hAnsi="仿宋" w:eastAsia="仿宋" w:cs="仿宋"/>
                <w:szCs w:val="21"/>
                <w:lang w:eastAsia="zh-CN"/>
              </w:rPr>
              <w:t>。</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邹达永</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lang w:val="en-US" w:eastAsia="zh-CN"/>
              </w:rPr>
              <w:t>市</w:t>
            </w:r>
            <w:r>
              <w:rPr>
                <w:rFonts w:hint="eastAsia" w:ascii="仿宋" w:hAnsi="仿宋" w:eastAsia="仿宋" w:cs="仿宋"/>
                <w:color w:val="000000"/>
                <w:kern w:val="0"/>
                <w:szCs w:val="21"/>
              </w:rPr>
              <w:t>场监管局</w:t>
            </w:r>
          </w:p>
        </w:tc>
        <w:tc>
          <w:tcPr>
            <w:tcW w:w="1009" w:type="dxa"/>
            <w:vAlign w:val="center"/>
          </w:tcPr>
          <w:p>
            <w:pPr>
              <w:widowControl/>
              <w:jc w:val="left"/>
              <w:rPr>
                <w:rFonts w:hint="default" w:eastAsia="宋体"/>
                <w:szCs w:val="21"/>
                <w:lang w:val="en-US" w:eastAsia="zh-CN"/>
              </w:rPr>
            </w:pPr>
            <w:r>
              <w:rPr>
                <w:rFonts w:hint="eastAsia" w:ascii="仿宋" w:hAnsi="仿宋" w:eastAsia="仿宋" w:cs="仿宋"/>
                <w:color w:val="000000"/>
                <w:kern w:val="0"/>
                <w:szCs w:val="21"/>
                <w:lang w:val="en-US" w:eastAsia="zh-CN"/>
              </w:rPr>
              <w:t>开办企业专项工作组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82" w:type="dxa"/>
            <w:vMerge w:val="restart"/>
            <w:vAlign w:val="center"/>
          </w:tcPr>
          <w:p>
            <w:pPr>
              <w:widowControl/>
              <w:jc w:val="center"/>
              <w:rPr>
                <w:szCs w:val="21"/>
              </w:rPr>
            </w:pPr>
            <w:r>
              <w:rPr>
                <w:rFonts w:ascii="仿宋" w:hAnsi="仿宋" w:eastAsia="仿宋" w:cs="仿宋"/>
                <w:b/>
                <w:bCs/>
                <w:color w:val="000000"/>
                <w:kern w:val="0"/>
                <w:szCs w:val="21"/>
              </w:rPr>
              <w:t>2</w:t>
            </w:r>
          </w:p>
        </w:tc>
        <w:tc>
          <w:tcPr>
            <w:tcW w:w="1162" w:type="dxa"/>
            <w:vMerge w:val="restart"/>
            <w:vAlign w:val="center"/>
          </w:tcPr>
          <w:p>
            <w:pPr>
              <w:widowControl/>
              <w:jc w:val="center"/>
              <w:rPr>
                <w:szCs w:val="21"/>
              </w:rPr>
            </w:pPr>
            <w:r>
              <w:rPr>
                <w:rFonts w:hint="eastAsia" w:ascii="仿宋_GB2312" w:hAnsi="仿宋_GB2312" w:eastAsia="仿宋_GB2312" w:cs="仿宋_GB2312"/>
                <w:b/>
                <w:bCs/>
                <w:color w:val="000000"/>
                <w:kern w:val="0"/>
                <w:szCs w:val="21"/>
              </w:rPr>
              <w:t>办理建筑许可</w:t>
            </w:r>
          </w:p>
        </w:tc>
        <w:tc>
          <w:tcPr>
            <w:tcW w:w="4854" w:type="dxa"/>
            <w:vMerge w:val="restart"/>
            <w:vAlign w:val="top"/>
          </w:tcPr>
          <w:p>
            <w:r>
              <w:rPr>
                <w:rFonts w:hint="eastAsia" w:ascii="仿宋" w:hAnsi="仿宋" w:eastAsia="仿宋" w:cs="仿宋"/>
                <w:szCs w:val="21"/>
              </w:rPr>
              <w:t>优化项目审批流程，全面实行工程建设项目多评合一、并联审批、联合勘验、联合测绘、联合审图、联合验收；实行新批工业用地“标准地”和“承诺即开工”制度；进一步压缩《商品房预售许可证》办结时限。</w:t>
            </w:r>
          </w:p>
        </w:tc>
        <w:tc>
          <w:tcPr>
            <w:tcW w:w="3764" w:type="dxa"/>
            <w:vMerge w:val="restart"/>
            <w:vAlign w:val="top"/>
          </w:tcPr>
          <w:p>
            <w:r>
              <w:rPr>
                <w:rFonts w:hint="eastAsia" w:ascii="仿宋" w:hAnsi="仿宋" w:eastAsia="仿宋" w:cs="仿宋"/>
                <w:szCs w:val="21"/>
              </w:rPr>
              <w:t>简化办理建筑许可手续；减少</w:t>
            </w:r>
            <w:r>
              <w:rPr>
                <w:rFonts w:hint="eastAsia" w:ascii="仿宋" w:hAnsi="仿宋" w:eastAsia="仿宋" w:cs="仿宋"/>
                <w:szCs w:val="21"/>
                <w:highlight w:val="none"/>
                <w:lang w:eastAsia="zh-CN"/>
              </w:rPr>
              <w:t>办理</w:t>
            </w:r>
            <w:r>
              <w:rPr>
                <w:rFonts w:hint="eastAsia" w:ascii="仿宋" w:hAnsi="仿宋" w:eastAsia="仿宋" w:cs="仿宋"/>
                <w:szCs w:val="21"/>
              </w:rPr>
              <w:t>建筑许可申请材料；办理建筑许可时间压缩至</w:t>
            </w:r>
            <w:r>
              <w:rPr>
                <w:rFonts w:hint="eastAsia" w:ascii="仿宋" w:hAnsi="仿宋" w:eastAsia="仿宋" w:cs="仿宋"/>
                <w:szCs w:val="21"/>
                <w:lang w:val="en-US" w:eastAsia="zh-CN"/>
              </w:rPr>
              <w:t>119个工作日以内</w:t>
            </w:r>
            <w:r>
              <w:rPr>
                <w:rFonts w:hint="eastAsia" w:ascii="仿宋" w:hAnsi="仿宋" w:eastAsia="仿宋" w:cs="仿宋"/>
                <w:szCs w:val="21"/>
              </w:rPr>
              <w:t>；降低办理建筑许可成本；提升建筑质量控制指数，提高办理建筑许可便利度。</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孙立军</w:t>
            </w:r>
          </w:p>
        </w:tc>
        <w:tc>
          <w:tcPr>
            <w:tcW w:w="1309" w:type="dxa"/>
            <w:vAlign w:val="center"/>
          </w:tcPr>
          <w:p>
            <w:pPr>
              <w:jc w:val="center"/>
              <w:rPr>
                <w:rFonts w:hint="eastAsia" w:ascii="仿宋" w:hAnsi="仿宋" w:eastAsia="仿宋" w:cs="仿宋"/>
                <w:szCs w:val="21"/>
              </w:rPr>
            </w:pPr>
            <w:r>
              <w:rPr>
                <w:rFonts w:hint="eastAsia" w:ascii="仿宋" w:hAnsi="仿宋" w:eastAsia="仿宋" w:cs="仿宋"/>
                <w:szCs w:val="21"/>
              </w:rPr>
              <w:t>住建局</w:t>
            </w:r>
          </w:p>
          <w:p>
            <w:pPr>
              <w:jc w:val="center"/>
              <w:rPr>
                <w:rFonts w:hint="default" w:ascii="仿宋" w:hAnsi="仿宋" w:eastAsia="仿宋" w:cs="仿宋"/>
                <w:szCs w:val="21"/>
                <w:lang w:val="en-US" w:eastAsia="zh-CN"/>
              </w:rPr>
            </w:pPr>
          </w:p>
        </w:tc>
        <w:tc>
          <w:tcPr>
            <w:tcW w:w="1009" w:type="dxa"/>
            <w:vMerge w:val="restart"/>
            <w:vAlign w:val="center"/>
          </w:tcPr>
          <w:p>
            <w:pPr>
              <w:widowControl/>
              <w:jc w:val="left"/>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办理建筑许可</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682" w:type="dxa"/>
            <w:vMerge w:val="continue"/>
            <w:vAlign w:val="center"/>
          </w:tcPr>
          <w:p>
            <w:pPr>
              <w:pStyle w:val="2"/>
              <w:ind w:left="0" w:leftChars="0" w:firstLine="0" w:firstLineChars="0"/>
            </w:pPr>
          </w:p>
        </w:tc>
        <w:tc>
          <w:tcPr>
            <w:tcW w:w="1162" w:type="dxa"/>
            <w:vMerge w:val="continue"/>
            <w:vAlign w:val="center"/>
          </w:tcPr>
          <w:p>
            <w:pPr>
              <w:pStyle w:val="2"/>
              <w:ind w:left="0" w:leftChars="0" w:firstLine="0" w:firstLineChars="0"/>
            </w:pPr>
          </w:p>
        </w:tc>
        <w:tc>
          <w:tcPr>
            <w:tcW w:w="4854" w:type="dxa"/>
            <w:vMerge w:val="continue"/>
            <w:vAlign w:val="top"/>
          </w:tcPr>
          <w:p>
            <w:pPr>
              <w:pStyle w:val="2"/>
              <w:ind w:left="0" w:leftChars="0" w:firstLine="0" w:firstLineChars="0"/>
            </w:pPr>
          </w:p>
        </w:tc>
        <w:tc>
          <w:tcPr>
            <w:tcW w:w="3764" w:type="dxa"/>
            <w:vMerge w:val="continue"/>
            <w:vAlign w:val="top"/>
          </w:tcPr>
          <w:p>
            <w:pPr>
              <w:pStyle w:val="2"/>
              <w:ind w:left="0" w:leftChars="0" w:firstLine="0" w:firstLineChars="0"/>
            </w:pPr>
          </w:p>
        </w:tc>
        <w:tc>
          <w:tcPr>
            <w:tcW w:w="1146" w:type="dxa"/>
            <w:vAlign w:val="center"/>
          </w:tcPr>
          <w:p>
            <w:pPr>
              <w:pStyle w:val="2"/>
              <w:ind w:left="0" w:leftChars="0" w:firstLine="0" w:firstLineChars="0"/>
              <w:rPr>
                <w:rFonts w:hint="default" w:ascii="仿宋" w:hAnsi="仿宋" w:eastAsia="仿宋" w:cs="仿宋"/>
                <w:szCs w:val="21"/>
                <w:lang w:val="en-US" w:eastAsia="zh-CN"/>
              </w:rPr>
            </w:pPr>
            <w:r>
              <w:rPr>
                <w:rFonts w:hint="eastAsia" w:ascii="仿宋" w:hAnsi="仿宋" w:eastAsia="仿宋" w:cs="仿宋"/>
                <w:szCs w:val="21"/>
                <w:lang w:val="en-US" w:eastAsia="zh-CN"/>
              </w:rPr>
              <w:t>赵国利</w:t>
            </w:r>
          </w:p>
        </w:tc>
        <w:tc>
          <w:tcPr>
            <w:tcW w:w="1309" w:type="dxa"/>
            <w:vAlign w:val="center"/>
          </w:tcPr>
          <w:p>
            <w:pPr>
              <w:pStyle w:val="2"/>
              <w:ind w:left="0" w:leftChars="0" w:firstLine="0" w:firstLineChars="0"/>
              <w:rPr>
                <w:rFonts w:hint="eastAsia" w:ascii="仿宋" w:hAnsi="仿宋" w:eastAsia="仿宋" w:cs="仿宋"/>
                <w:szCs w:val="21"/>
                <w:lang w:val="en-US" w:eastAsia="zh-CN"/>
              </w:rPr>
            </w:pPr>
            <w:r>
              <w:rPr>
                <w:rFonts w:hint="eastAsia" w:ascii="仿宋" w:hAnsi="仿宋" w:eastAsia="仿宋" w:cs="仿宋"/>
                <w:color w:val="000000"/>
                <w:kern w:val="0"/>
                <w:szCs w:val="21"/>
                <w:lang w:val="en-US" w:eastAsia="zh-CN"/>
              </w:rPr>
              <w:t>自然资源局</w:t>
            </w:r>
          </w:p>
        </w:tc>
        <w:tc>
          <w:tcPr>
            <w:tcW w:w="1009" w:type="dxa"/>
            <w:vMerge w:val="continue"/>
            <w:vAlign w:val="center"/>
          </w:tcPr>
          <w:p>
            <w:pPr>
              <w:pStyle w:val="2"/>
              <w:ind w:left="0" w:leftChars="0" w:firstLine="0" w:firstLineChars="0"/>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2" w:type="dxa"/>
            <w:vAlign w:val="center"/>
          </w:tcPr>
          <w:p>
            <w:pPr>
              <w:widowControl/>
              <w:jc w:val="center"/>
              <w:rPr>
                <w:szCs w:val="21"/>
              </w:rPr>
            </w:pPr>
            <w:r>
              <w:rPr>
                <w:rFonts w:ascii="仿宋" w:hAnsi="仿宋" w:eastAsia="仿宋" w:cs="仿宋"/>
                <w:b/>
                <w:bCs/>
                <w:color w:val="000000"/>
                <w:kern w:val="0"/>
                <w:szCs w:val="21"/>
              </w:rPr>
              <w:t>3</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获得电力</w:t>
            </w:r>
          </w:p>
        </w:tc>
        <w:tc>
          <w:tcPr>
            <w:tcW w:w="4854" w:type="dxa"/>
            <w:vAlign w:val="top"/>
          </w:tcPr>
          <w:p>
            <w:r>
              <w:rPr>
                <w:rFonts w:hint="eastAsia" w:ascii="仿宋" w:hAnsi="仿宋" w:eastAsia="仿宋" w:cs="仿宋"/>
                <w:szCs w:val="21"/>
              </w:rPr>
              <w:t>落实《国网黑龙江省电力有限公司优化电力营商环境报装接电专项治理</w:t>
            </w:r>
            <w:r>
              <w:rPr>
                <w:rFonts w:ascii="仿宋" w:hAnsi="仿宋" w:eastAsia="仿宋" w:cs="仿宋"/>
                <w:szCs w:val="21"/>
              </w:rPr>
              <w:t>23</w:t>
            </w:r>
            <w:r>
              <w:rPr>
                <w:rFonts w:hint="eastAsia" w:ascii="仿宋" w:hAnsi="仿宋" w:eastAsia="仿宋" w:cs="仿宋"/>
                <w:szCs w:val="21"/>
              </w:rPr>
              <w:t>条》，实施</w:t>
            </w:r>
            <w:r>
              <w:rPr>
                <w:rFonts w:ascii="仿宋" w:hAnsi="仿宋" w:eastAsia="仿宋" w:cs="仿宋"/>
                <w:szCs w:val="21"/>
              </w:rPr>
              <w:t>10</w:t>
            </w:r>
            <w:r>
              <w:rPr>
                <w:rFonts w:hint="eastAsia" w:ascii="仿宋" w:hAnsi="仿宋" w:eastAsia="仿宋" w:cs="仿宋"/>
                <w:szCs w:val="21"/>
              </w:rPr>
              <w:t>千伏及以上大中型企业客户“省力、省时、省钱”服务，开展小微企业低</w:t>
            </w:r>
            <w:r>
              <w:rPr>
                <w:rFonts w:hint="eastAsia" w:ascii="仿宋" w:hAnsi="仿宋" w:eastAsia="仿宋" w:cs="仿宋"/>
                <w:szCs w:val="21"/>
                <w:lang w:val="en-US" w:eastAsia="zh-CN"/>
              </w:rPr>
              <w:t>电</w:t>
            </w:r>
            <w:r>
              <w:rPr>
                <w:rFonts w:hint="eastAsia" w:ascii="仿宋" w:hAnsi="仿宋" w:eastAsia="仿宋" w:cs="仿宋"/>
                <w:szCs w:val="21"/>
              </w:rPr>
              <w:t>报装“零上门、零审批、零投资”服务，进一步压缩用电报装时间，</w:t>
            </w:r>
            <w:r>
              <w:rPr>
                <w:rFonts w:hint="eastAsia" w:ascii="仿宋" w:hAnsi="仿宋" w:eastAsia="仿宋" w:cs="仿宋"/>
                <w:b w:val="0"/>
                <w:bCs w:val="0"/>
                <w:sz w:val="21"/>
                <w:szCs w:val="21"/>
              </w:rPr>
              <w:t>落实一般工商业平均电价再降低10%</w:t>
            </w:r>
            <w:r>
              <w:rPr>
                <w:rFonts w:hint="eastAsia" w:ascii="仿宋" w:hAnsi="仿宋" w:eastAsia="仿宋" w:cs="仿宋"/>
                <w:b w:val="0"/>
                <w:bCs w:val="0"/>
                <w:sz w:val="21"/>
                <w:szCs w:val="21"/>
                <w:lang w:val="en-US" w:eastAsia="zh-CN"/>
              </w:rPr>
              <w:t>标准</w:t>
            </w:r>
            <w:r>
              <w:rPr>
                <w:rFonts w:hint="eastAsia" w:ascii="仿宋" w:hAnsi="仿宋" w:eastAsia="仿宋" w:cs="仿宋"/>
                <w:sz w:val="21"/>
                <w:szCs w:val="21"/>
              </w:rPr>
              <w:t>。</w:t>
            </w:r>
          </w:p>
        </w:tc>
        <w:tc>
          <w:tcPr>
            <w:tcW w:w="3764" w:type="dxa"/>
            <w:vAlign w:val="top"/>
          </w:tcPr>
          <w:p>
            <w:r>
              <w:rPr>
                <w:rFonts w:hint="eastAsia" w:ascii="仿宋" w:hAnsi="仿宋" w:eastAsia="仿宋" w:cs="仿宋"/>
                <w:szCs w:val="21"/>
              </w:rPr>
              <w:t>简化用电报装手续；减少用电报装申请材料；</w:t>
            </w:r>
            <w:r>
              <w:rPr>
                <w:rFonts w:hint="eastAsia" w:ascii="仿宋" w:hAnsi="仿宋" w:eastAsia="仿宋" w:cs="仿宋"/>
                <w:szCs w:val="21"/>
                <w:lang w:val="en-US" w:eastAsia="zh-CN"/>
              </w:rPr>
              <w:t>小微企业低压</w:t>
            </w:r>
            <w:r>
              <w:rPr>
                <w:rFonts w:hint="eastAsia" w:ascii="仿宋" w:hAnsi="仿宋" w:eastAsia="仿宋" w:cs="仿宋"/>
                <w:szCs w:val="21"/>
              </w:rPr>
              <w:t>用电报装</w:t>
            </w:r>
            <w:r>
              <w:rPr>
                <w:rFonts w:hint="eastAsia" w:ascii="仿宋" w:hAnsi="仿宋" w:eastAsia="仿宋" w:cs="仿宋"/>
                <w:szCs w:val="21"/>
                <w:lang w:val="en-US" w:eastAsia="zh-CN"/>
              </w:rPr>
              <w:t>平均</w:t>
            </w:r>
            <w:r>
              <w:rPr>
                <w:rFonts w:hint="eastAsia" w:ascii="仿宋" w:hAnsi="仿宋" w:eastAsia="仿宋" w:cs="仿宋"/>
                <w:szCs w:val="21"/>
              </w:rPr>
              <w:t>时间压缩到</w:t>
            </w:r>
            <w:r>
              <w:rPr>
                <w:rFonts w:ascii="仿宋" w:hAnsi="仿宋" w:eastAsia="仿宋" w:cs="仿宋"/>
                <w:szCs w:val="21"/>
              </w:rPr>
              <w:t>5.5</w:t>
            </w:r>
            <w:r>
              <w:rPr>
                <w:rFonts w:hint="eastAsia" w:ascii="仿宋" w:hAnsi="仿宋" w:eastAsia="仿宋" w:cs="仿宋"/>
                <w:szCs w:val="21"/>
                <w:lang w:val="en-US" w:eastAsia="zh-CN"/>
              </w:rPr>
              <w:t>个工作日</w:t>
            </w:r>
            <w:r>
              <w:rPr>
                <w:rFonts w:hint="eastAsia" w:ascii="仿宋" w:hAnsi="仿宋" w:eastAsia="仿宋" w:cs="仿宋"/>
                <w:szCs w:val="21"/>
                <w:lang w:eastAsia="zh-CN"/>
              </w:rPr>
              <w:t>，</w:t>
            </w:r>
            <w:r>
              <w:rPr>
                <w:rFonts w:hint="eastAsia" w:ascii="仿宋" w:hAnsi="仿宋" w:eastAsia="仿宋" w:cs="仿宋"/>
                <w:szCs w:val="21"/>
                <w:lang w:val="en-US" w:eastAsia="zh-CN"/>
              </w:rPr>
              <w:t>高压客户用电报装平均时间压缩到60个工作日；</w:t>
            </w:r>
            <w:r>
              <w:rPr>
                <w:rFonts w:hint="eastAsia" w:ascii="仿宋" w:hAnsi="仿宋" w:eastAsia="仿宋" w:cs="仿宋"/>
                <w:szCs w:val="21"/>
              </w:rPr>
              <w:t>降低用电报装成本；提高供电可靠性和电费透明度指数，提高获得电力便利度。获得电力指数保持全省领先水平。</w:t>
            </w:r>
          </w:p>
        </w:tc>
        <w:tc>
          <w:tcPr>
            <w:tcW w:w="1146" w:type="dxa"/>
            <w:vAlign w:val="center"/>
          </w:tcPr>
          <w:p>
            <w:pPr>
              <w:jc w:val="center"/>
              <w:rPr>
                <w:rFonts w:hint="eastAsia" w:ascii="仿宋" w:hAnsi="仿宋" w:eastAsia="仿宋" w:cs="仿宋"/>
                <w:szCs w:val="21"/>
                <w:lang w:val="en-US" w:eastAsia="zh-CN"/>
              </w:rPr>
            </w:pPr>
          </w:p>
        </w:tc>
        <w:tc>
          <w:tcPr>
            <w:tcW w:w="1309" w:type="dxa"/>
            <w:vAlign w:val="center"/>
          </w:tcPr>
          <w:p>
            <w:pPr>
              <w:widowControl/>
              <w:jc w:val="center"/>
              <w:rPr>
                <w:rFonts w:ascii="仿宋" w:hAnsi="仿宋" w:eastAsia="仿宋" w:cs="仿宋"/>
                <w:szCs w:val="21"/>
              </w:rPr>
            </w:pPr>
            <w:r>
              <w:rPr>
                <w:rFonts w:hint="eastAsia" w:ascii="仿宋" w:hAnsi="仿宋" w:eastAsia="仿宋" w:cs="仿宋"/>
                <w:szCs w:val="21"/>
              </w:rPr>
              <w:t>国网</w:t>
            </w:r>
            <w:r>
              <w:rPr>
                <w:rFonts w:hint="eastAsia" w:ascii="仿宋" w:hAnsi="仿宋" w:eastAsia="仿宋" w:cs="仿宋"/>
                <w:szCs w:val="21"/>
                <w:lang w:val="en-US" w:eastAsia="zh-CN"/>
              </w:rPr>
              <w:t>望奎</w:t>
            </w:r>
            <w:r>
              <w:rPr>
                <w:rFonts w:hint="eastAsia" w:ascii="仿宋" w:hAnsi="仿宋" w:eastAsia="仿宋" w:cs="仿宋"/>
                <w:szCs w:val="21"/>
              </w:rPr>
              <w:t>供电公司</w:t>
            </w:r>
          </w:p>
        </w:tc>
        <w:tc>
          <w:tcPr>
            <w:tcW w:w="1009" w:type="dxa"/>
            <w:vAlign w:val="center"/>
          </w:tcPr>
          <w:p>
            <w:pPr>
              <w:widowControl/>
              <w:jc w:val="center"/>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获得电力</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szCs w:val="21"/>
              </w:rPr>
            </w:pPr>
            <w:r>
              <w:rPr>
                <w:rFonts w:ascii="仿宋" w:hAnsi="仿宋" w:eastAsia="仿宋" w:cs="仿宋"/>
                <w:b/>
                <w:bCs/>
                <w:color w:val="000000"/>
                <w:kern w:val="0"/>
                <w:szCs w:val="21"/>
              </w:rPr>
              <w:t>4</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获得用水用气</w:t>
            </w:r>
          </w:p>
        </w:tc>
        <w:tc>
          <w:tcPr>
            <w:tcW w:w="4854" w:type="dxa"/>
            <w:vAlign w:val="top"/>
          </w:tcPr>
          <w:p>
            <w:r>
              <w:rPr>
                <w:rFonts w:hint="eastAsia" w:ascii="仿宋" w:hAnsi="仿宋" w:eastAsia="仿宋" w:cs="仿宋"/>
                <w:szCs w:val="21"/>
              </w:rPr>
              <w:t>自来水、燃气等直接关系公共利益的公用企业要简化报装程序、大力压缩用气报装时间，降低用水价格、不得非法收取接入费、入网费等费用。公用企业和有关部门不得违背市场竞争原则，强迫市场主体接受指定设计单位、采购单位、施工安装单位、监理单位等不合理条件。</w:t>
            </w:r>
          </w:p>
        </w:tc>
        <w:tc>
          <w:tcPr>
            <w:tcW w:w="3764" w:type="dxa"/>
            <w:vAlign w:val="top"/>
          </w:tcPr>
          <w:p>
            <w:r>
              <w:rPr>
                <w:rFonts w:hint="eastAsia" w:ascii="仿宋" w:hAnsi="仿宋" w:eastAsia="仿宋" w:cs="仿宋"/>
                <w:szCs w:val="21"/>
              </w:rPr>
              <w:t>简化用水、用气报装手续；减少用水、用气报装申请材料；用水、用气报装成本</w:t>
            </w:r>
            <w:r>
              <w:rPr>
                <w:rFonts w:ascii="仿宋" w:hAnsi="仿宋" w:eastAsia="仿宋" w:cs="仿宋"/>
                <w:szCs w:val="21"/>
              </w:rPr>
              <w:t>0</w:t>
            </w:r>
            <w:r>
              <w:rPr>
                <w:rFonts w:hint="eastAsia" w:ascii="仿宋" w:hAnsi="仿宋" w:eastAsia="仿宋" w:cs="仿宋"/>
                <w:szCs w:val="21"/>
              </w:rPr>
              <w:t>元，用水报装时间保持不变，用气报装时间压缩至</w:t>
            </w:r>
            <w:r>
              <w:rPr>
                <w:rFonts w:ascii="仿宋" w:hAnsi="仿宋" w:eastAsia="仿宋" w:cs="仿宋"/>
                <w:szCs w:val="21"/>
              </w:rPr>
              <w:t>5</w:t>
            </w:r>
            <w:r>
              <w:rPr>
                <w:rFonts w:hint="eastAsia" w:ascii="仿宋" w:hAnsi="仿宋" w:eastAsia="仿宋" w:cs="仿宋"/>
                <w:szCs w:val="21"/>
              </w:rPr>
              <w:t>个工作日；降低用水、用气价格；优化用水用气流程。</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孙立军</w:t>
            </w:r>
          </w:p>
        </w:tc>
        <w:tc>
          <w:tcPr>
            <w:tcW w:w="1309" w:type="dxa"/>
            <w:vAlign w:val="center"/>
          </w:tcPr>
          <w:p>
            <w:pPr>
              <w:widowControl/>
              <w:rPr>
                <w:rFonts w:hint="eastAsia" w:ascii="仿宋" w:hAnsi="仿宋" w:eastAsia="仿宋" w:cs="仿宋"/>
                <w:kern w:val="0"/>
                <w:szCs w:val="21"/>
              </w:rPr>
            </w:pPr>
          </w:p>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住建局</w:t>
            </w:r>
          </w:p>
          <w:p>
            <w:pPr>
              <w:widowControl/>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供排水管理处</w:t>
            </w:r>
          </w:p>
          <w:p>
            <w:pPr>
              <w:widowControl/>
              <w:rPr>
                <w:rFonts w:ascii="仿宋" w:hAnsi="仿宋" w:eastAsia="仿宋" w:cs="仿宋"/>
                <w:szCs w:val="21"/>
              </w:rPr>
            </w:pPr>
          </w:p>
        </w:tc>
        <w:tc>
          <w:tcPr>
            <w:tcW w:w="1009" w:type="dxa"/>
            <w:vAlign w:val="center"/>
          </w:tcPr>
          <w:p>
            <w:pPr>
              <w:widowControl/>
              <w:jc w:val="center"/>
              <w:rPr>
                <w:b w:val="0"/>
                <w:bCs w:val="0"/>
                <w:szCs w:val="21"/>
              </w:rPr>
            </w:pPr>
            <w:r>
              <w:rPr>
                <w:rFonts w:hint="eastAsia" w:ascii="仿宋_GB2312" w:hAnsi="仿宋_GB2312" w:eastAsia="仿宋_GB2312" w:cs="仿宋_GB2312"/>
                <w:b w:val="0"/>
                <w:bCs w:val="0"/>
                <w:color w:val="000000"/>
                <w:kern w:val="0"/>
                <w:szCs w:val="21"/>
              </w:rPr>
              <w:t>获得用水用气</w:t>
            </w:r>
            <w:r>
              <w:rPr>
                <w:rFonts w:hint="eastAsia" w:ascii="仿宋_GB2312" w:hAnsi="仿宋_GB2312" w:eastAsia="仿宋_GB2312" w:cs="仿宋_GB2312"/>
                <w:b w:val="0"/>
                <w:bCs w:val="0"/>
                <w:color w:val="000000"/>
                <w:kern w:val="0"/>
                <w:szCs w:val="21"/>
                <w:lang w:val="en-US" w:eastAsia="zh-CN"/>
              </w:rPr>
              <w:t>专项工作组</w:t>
            </w:r>
            <w:r>
              <w:rPr>
                <w:rFonts w:ascii="仿宋" w:hAnsi="仿宋" w:eastAsia="仿宋" w:cs="仿宋"/>
                <w:b w:val="0"/>
                <w:bCs w:val="0"/>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szCs w:val="21"/>
              </w:rPr>
            </w:pPr>
            <w:r>
              <w:rPr>
                <w:rFonts w:ascii="仿宋" w:hAnsi="仿宋" w:eastAsia="仿宋" w:cs="仿宋"/>
                <w:b/>
                <w:bCs/>
                <w:color w:val="000000"/>
                <w:kern w:val="0"/>
                <w:szCs w:val="21"/>
              </w:rPr>
              <w:t>5</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登记财产</w:t>
            </w:r>
          </w:p>
        </w:tc>
        <w:tc>
          <w:tcPr>
            <w:tcW w:w="4854" w:type="dxa"/>
            <w:vAlign w:val="top"/>
          </w:tcPr>
          <w:p>
            <w:r>
              <w:rPr>
                <w:rFonts w:hint="eastAsia" w:ascii="仿宋" w:hAnsi="仿宋" w:eastAsia="仿宋" w:cs="仿宋"/>
                <w:szCs w:val="21"/>
              </w:rPr>
              <w:t>全面深化不动产登记改革，持续推进信息、流程、人员“三集成”，实现房屋交易、缴税、不动产登记一窗受理。全面推行“互联网＋不动产登记”工作模式，形成“窗口办”与“网上办”“掌上办”互补，实现“最多跑一次”。推行灵活多样的供地方式。</w:t>
            </w:r>
          </w:p>
        </w:tc>
        <w:tc>
          <w:tcPr>
            <w:tcW w:w="3764" w:type="dxa"/>
            <w:vAlign w:val="top"/>
          </w:tcPr>
          <w:p>
            <w:r>
              <w:rPr>
                <w:rFonts w:hint="eastAsia" w:ascii="仿宋" w:hAnsi="仿宋" w:eastAsia="仿宋" w:cs="仿宋"/>
                <w:szCs w:val="21"/>
              </w:rPr>
              <w:t>简化登记财产手续；减少登记财产申请材料；</w:t>
            </w:r>
            <w:r>
              <w:rPr>
                <w:rFonts w:hint="eastAsia" w:ascii="仿宋" w:hAnsi="仿宋" w:eastAsia="仿宋" w:cs="仿宋"/>
                <w:szCs w:val="21"/>
                <w:lang w:val="en-US" w:eastAsia="zh-CN"/>
              </w:rPr>
              <w:t>压缩</w:t>
            </w:r>
            <w:r>
              <w:rPr>
                <w:rFonts w:hint="eastAsia" w:ascii="仿宋" w:hAnsi="仿宋" w:eastAsia="仿宋" w:cs="仿宋"/>
                <w:szCs w:val="21"/>
              </w:rPr>
              <w:t>登记财产时间</w:t>
            </w:r>
            <w:r>
              <w:rPr>
                <w:rFonts w:hint="eastAsia" w:ascii="仿宋" w:hAnsi="仿宋" w:eastAsia="仿宋" w:cs="仿宋"/>
                <w:szCs w:val="21"/>
                <w:lang w:eastAsia="zh-CN"/>
              </w:rPr>
              <w:t>、</w:t>
            </w:r>
            <w:r>
              <w:rPr>
                <w:rFonts w:hint="eastAsia" w:ascii="仿宋" w:hAnsi="仿宋" w:eastAsia="仿宋" w:cs="仿宋"/>
                <w:szCs w:val="21"/>
                <w:lang w:val="en-US" w:eastAsia="zh-CN"/>
              </w:rPr>
              <w:t>降低办理成本</w:t>
            </w:r>
            <w:r>
              <w:rPr>
                <w:rFonts w:hint="eastAsia" w:ascii="仿宋" w:hAnsi="仿宋" w:eastAsia="仿宋" w:cs="仿宋"/>
                <w:szCs w:val="21"/>
              </w:rPr>
              <w:t>；提升土地管理水平指数，优化登记财产流程；提升登记财产便利度。</w:t>
            </w:r>
          </w:p>
        </w:tc>
        <w:tc>
          <w:tcPr>
            <w:tcW w:w="1146"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赵国利</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rPr>
              <w:t>自然资源局</w:t>
            </w:r>
          </w:p>
        </w:tc>
        <w:tc>
          <w:tcPr>
            <w:tcW w:w="1009" w:type="dxa"/>
            <w:vAlign w:val="center"/>
          </w:tcPr>
          <w:p>
            <w:pPr>
              <w:widowControl/>
              <w:jc w:val="center"/>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登记财产</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szCs w:val="21"/>
              </w:rPr>
            </w:pPr>
            <w:r>
              <w:rPr>
                <w:rFonts w:ascii="仿宋" w:hAnsi="仿宋" w:eastAsia="仿宋" w:cs="仿宋"/>
                <w:b/>
                <w:bCs/>
                <w:color w:val="000000"/>
                <w:kern w:val="0"/>
                <w:szCs w:val="21"/>
              </w:rPr>
              <w:t>6</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纳税</w:t>
            </w:r>
          </w:p>
        </w:tc>
        <w:tc>
          <w:tcPr>
            <w:tcW w:w="4854" w:type="dxa"/>
            <w:vAlign w:val="top"/>
          </w:tcPr>
          <w:p>
            <w:pPr>
              <w:rPr>
                <w:rFonts w:hint="default" w:eastAsia="仿宋"/>
                <w:lang w:val="en-US" w:eastAsia="zh-CN"/>
              </w:rPr>
            </w:pPr>
            <w:r>
              <w:rPr>
                <w:rFonts w:hint="eastAsia" w:ascii="仿宋" w:hAnsi="仿宋" w:eastAsia="仿宋" w:cs="仿宋"/>
                <w:szCs w:val="21"/>
              </w:rPr>
              <w:t>全面落实国家减税降费政策，持续推进办税</w:t>
            </w:r>
            <w:r>
              <w:rPr>
                <w:rFonts w:ascii="仿宋" w:hAnsi="仿宋" w:eastAsia="仿宋" w:cs="仿宋"/>
                <w:szCs w:val="21"/>
              </w:rPr>
              <w:t>(</w:t>
            </w:r>
            <w:r>
              <w:rPr>
                <w:rFonts w:hint="eastAsia" w:ascii="仿宋" w:hAnsi="仿宋" w:eastAsia="仿宋" w:cs="仿宋"/>
                <w:szCs w:val="21"/>
              </w:rPr>
              <w:t>缴费</w:t>
            </w:r>
            <w:r>
              <w:rPr>
                <w:rFonts w:ascii="仿宋" w:hAnsi="仿宋" w:eastAsia="仿宋" w:cs="仿宋"/>
                <w:szCs w:val="21"/>
              </w:rPr>
              <w:t>)</w:t>
            </w:r>
            <w:r>
              <w:rPr>
                <w:rFonts w:hint="eastAsia" w:ascii="仿宋" w:hAnsi="仿宋" w:eastAsia="仿宋" w:cs="仿宋"/>
                <w:szCs w:val="21"/>
              </w:rPr>
              <w:t>便利化改革。全面推行网上办税服务，探索实现申报环节减免税提醒。</w:t>
            </w:r>
            <w:r>
              <w:rPr>
                <w:rFonts w:hint="eastAsia" w:ascii="仿宋" w:hAnsi="仿宋" w:eastAsia="仿宋" w:cs="仿宋"/>
                <w:szCs w:val="21"/>
                <w:lang w:val="en-US" w:eastAsia="zh-CN"/>
              </w:rPr>
              <w:t>减</w:t>
            </w:r>
            <w:r>
              <w:rPr>
                <w:rFonts w:hint="eastAsia" w:ascii="仿宋" w:hAnsi="仿宋" w:eastAsia="仿宋" w:cs="仿宋"/>
                <w:szCs w:val="21"/>
              </w:rPr>
              <w:t>少</w:t>
            </w:r>
            <w:r>
              <w:rPr>
                <w:rFonts w:hint="eastAsia" w:ascii="仿宋" w:hAnsi="仿宋" w:eastAsia="仿宋" w:cs="仿宋"/>
                <w:color w:val="3B3B3B"/>
                <w:szCs w:val="21"/>
              </w:rPr>
              <w:t>增值税退税申报时间和到账时间；</w:t>
            </w:r>
            <w:r>
              <w:rPr>
                <w:rFonts w:hint="eastAsia" w:ascii="仿宋" w:hAnsi="仿宋" w:eastAsia="仿宋" w:cs="仿宋"/>
                <w:szCs w:val="21"/>
              </w:rPr>
              <w:t>制定办税高频事项“最多跑一次”清单，建立电子税务局，为纳税人提供“网上一窗式”业务办理。税务部门发票申领窗口可进驻政务服务中心，实现开办企业营业执照与发票“一窗发放”。</w:t>
            </w:r>
            <w:r>
              <w:rPr>
                <w:rFonts w:hint="eastAsia" w:ascii="仿宋" w:hAnsi="仿宋" w:eastAsia="仿宋" w:cs="仿宋"/>
                <w:szCs w:val="21"/>
                <w:lang w:val="en-US" w:eastAsia="zh-CN"/>
              </w:rPr>
              <w:t>10月底前，70%以上涉税事项实现一次办结。</w:t>
            </w:r>
          </w:p>
        </w:tc>
        <w:tc>
          <w:tcPr>
            <w:tcW w:w="3764" w:type="dxa"/>
            <w:vAlign w:val="top"/>
          </w:tcPr>
          <w:p>
            <w:r>
              <w:rPr>
                <w:rFonts w:hint="eastAsia" w:ascii="仿宋" w:hAnsi="仿宋" w:eastAsia="仿宋" w:cs="仿宋"/>
                <w:szCs w:val="21"/>
              </w:rPr>
              <w:t>减少纳税次数，小微企业财务报表按季报送；压缩纳税时间；降低总税率和社会缴纳费率。</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董双清</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rPr>
              <w:t>税务局</w:t>
            </w:r>
          </w:p>
        </w:tc>
        <w:tc>
          <w:tcPr>
            <w:tcW w:w="1009" w:type="dxa"/>
            <w:vAlign w:val="center"/>
          </w:tcPr>
          <w:p>
            <w:pPr>
              <w:widowControl/>
              <w:jc w:val="center"/>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纳税</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rFonts w:hint="eastAsia" w:eastAsiaTheme="minorEastAsia"/>
                <w:szCs w:val="21"/>
                <w:lang w:eastAsia="zh-CN"/>
              </w:rPr>
            </w:pPr>
            <w:r>
              <w:rPr>
                <w:rFonts w:hint="eastAsia" w:ascii="仿宋" w:hAnsi="仿宋" w:eastAsia="仿宋" w:cs="仿宋"/>
                <w:b/>
                <w:bCs/>
                <w:color w:val="000000"/>
                <w:kern w:val="0"/>
                <w:szCs w:val="21"/>
                <w:lang w:val="en-US" w:eastAsia="zh-CN"/>
              </w:rPr>
              <w:t>7</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办理破产</w:t>
            </w:r>
          </w:p>
        </w:tc>
        <w:tc>
          <w:tcPr>
            <w:tcW w:w="4854" w:type="dxa"/>
            <w:vAlign w:val="top"/>
          </w:tcPr>
          <w:p>
            <w:r>
              <w:rPr>
                <w:rFonts w:hint="eastAsia" w:ascii="仿宋" w:hAnsi="仿宋" w:eastAsia="仿宋" w:cs="仿宋"/>
                <w:sz w:val="21"/>
                <w:szCs w:val="21"/>
              </w:rPr>
              <w:t>要进一步提升“办理破产”工作水平，积极探索破产案件繁简分流，</w:t>
            </w:r>
            <w:r>
              <w:rPr>
                <w:rFonts w:hint="eastAsia" w:ascii="仿宋" w:hAnsi="仿宋" w:eastAsia="仿宋" w:cs="仿宋"/>
                <w:b w:val="0"/>
                <w:bCs w:val="0"/>
                <w:sz w:val="21"/>
                <w:szCs w:val="21"/>
              </w:rPr>
              <w:t>打通</w:t>
            </w:r>
            <w:r>
              <w:rPr>
                <w:rFonts w:hint="eastAsia" w:ascii="仿宋" w:hAnsi="仿宋" w:eastAsia="仿宋" w:cs="仿宋"/>
                <w:b w:val="0"/>
                <w:bCs w:val="0"/>
                <w:sz w:val="21"/>
                <w:szCs w:val="21"/>
                <w:lang w:val="en-US" w:eastAsia="zh-CN"/>
              </w:rPr>
              <w:t>适用</w:t>
            </w:r>
            <w:r>
              <w:rPr>
                <w:rFonts w:hint="eastAsia" w:ascii="仿宋" w:hAnsi="仿宋" w:eastAsia="仿宋" w:cs="仿宋"/>
                <w:b w:val="0"/>
                <w:bCs w:val="0"/>
                <w:sz w:val="21"/>
                <w:szCs w:val="21"/>
              </w:rPr>
              <w:t>简易</w:t>
            </w:r>
            <w:r>
              <w:rPr>
                <w:rFonts w:hint="eastAsia" w:ascii="仿宋" w:hAnsi="仿宋" w:eastAsia="仿宋" w:cs="仿宋"/>
                <w:b w:val="0"/>
                <w:bCs w:val="0"/>
                <w:sz w:val="21"/>
                <w:szCs w:val="21"/>
                <w:lang w:val="en-US" w:eastAsia="zh-CN"/>
              </w:rPr>
              <w:t>程序</w:t>
            </w:r>
            <w:r>
              <w:rPr>
                <w:rFonts w:hint="eastAsia" w:ascii="仿宋" w:hAnsi="仿宋" w:eastAsia="仿宋" w:cs="仿宋"/>
                <w:b w:val="0"/>
                <w:bCs w:val="0"/>
                <w:sz w:val="21"/>
                <w:szCs w:val="21"/>
              </w:rPr>
              <w:t>破产案件的“快车道”；探索建立对破产财产处置的网络</w:t>
            </w:r>
            <w:r>
              <w:rPr>
                <w:rFonts w:hint="eastAsia" w:ascii="仿宋" w:hAnsi="仿宋" w:eastAsia="仿宋" w:cs="仿宋"/>
                <w:b w:val="0"/>
                <w:bCs w:val="0"/>
                <w:sz w:val="21"/>
                <w:szCs w:val="21"/>
                <w:lang w:val="en-US" w:eastAsia="zh-CN"/>
              </w:rPr>
              <w:t>评估、</w:t>
            </w:r>
            <w:r>
              <w:rPr>
                <w:rFonts w:hint="eastAsia" w:ascii="仿宋" w:hAnsi="仿宋" w:eastAsia="仿宋" w:cs="仿宋"/>
                <w:b w:val="0"/>
                <w:bCs w:val="0"/>
                <w:sz w:val="21"/>
                <w:szCs w:val="21"/>
              </w:rPr>
              <w:t>拍卖通道，</w:t>
            </w:r>
            <w:r>
              <w:rPr>
                <w:rFonts w:hint="eastAsia" w:ascii="仿宋" w:hAnsi="仿宋" w:eastAsia="仿宋" w:cs="仿宋"/>
                <w:b w:val="0"/>
                <w:bCs w:val="0"/>
                <w:sz w:val="21"/>
                <w:szCs w:val="21"/>
                <w:lang w:val="en-US" w:eastAsia="zh-CN"/>
              </w:rPr>
              <w:t>提升财产价值公正性，</w:t>
            </w:r>
            <w:r>
              <w:rPr>
                <w:rFonts w:hint="eastAsia" w:ascii="仿宋" w:hAnsi="仿宋" w:eastAsia="仿宋" w:cs="仿宋"/>
                <w:b w:val="0"/>
                <w:bCs w:val="0"/>
                <w:sz w:val="21"/>
                <w:szCs w:val="21"/>
              </w:rPr>
              <w:t>降低企业破产成本，</w:t>
            </w:r>
            <w:r>
              <w:rPr>
                <w:rFonts w:hint="eastAsia" w:ascii="仿宋" w:hAnsi="仿宋" w:eastAsia="仿宋" w:cs="仿宋"/>
                <w:b w:val="0"/>
                <w:bCs w:val="0"/>
                <w:sz w:val="21"/>
                <w:szCs w:val="21"/>
                <w:lang w:val="en-US" w:eastAsia="zh-CN"/>
              </w:rPr>
              <w:t>实现</w:t>
            </w:r>
            <w:r>
              <w:rPr>
                <w:rFonts w:hint="eastAsia" w:ascii="仿宋" w:hAnsi="仿宋" w:eastAsia="仿宋" w:cs="仿宋"/>
                <w:b w:val="0"/>
                <w:bCs w:val="0"/>
                <w:sz w:val="21"/>
                <w:szCs w:val="21"/>
              </w:rPr>
              <w:t>债权人利益最大化；</w:t>
            </w:r>
            <w:r>
              <w:rPr>
                <w:rFonts w:hint="eastAsia" w:ascii="仿宋" w:hAnsi="仿宋" w:eastAsia="仿宋" w:cs="仿宋"/>
                <w:sz w:val="21"/>
                <w:szCs w:val="21"/>
              </w:rPr>
              <w:t>完善破产费用保障机制，推动建立破产费用专项资金。组建专业团队集约处理破产案件，提升专业化水平。</w:t>
            </w:r>
          </w:p>
        </w:tc>
        <w:tc>
          <w:tcPr>
            <w:tcW w:w="3764" w:type="dxa"/>
            <w:vAlign w:val="top"/>
          </w:tcPr>
          <w:p>
            <w:r>
              <w:rPr>
                <w:rFonts w:hint="eastAsia" w:ascii="仿宋" w:hAnsi="仿宋" w:eastAsia="仿宋" w:cs="仿宋"/>
                <w:szCs w:val="21"/>
              </w:rPr>
              <w:t>压缩收回债务时间；降低收回债务成本；收回债务债权人回收率提升到</w:t>
            </w:r>
            <w:r>
              <w:rPr>
                <w:rFonts w:ascii="仿宋" w:hAnsi="仿宋" w:eastAsia="仿宋" w:cs="仿宋"/>
                <w:szCs w:val="21"/>
              </w:rPr>
              <w:t>55%</w:t>
            </w:r>
            <w:r>
              <w:rPr>
                <w:rFonts w:hint="eastAsia" w:ascii="仿宋" w:hAnsi="仿宋" w:eastAsia="仿宋" w:cs="仿宋"/>
                <w:szCs w:val="21"/>
              </w:rPr>
              <w:t>以上；提升破产框架力度指数。</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董双清</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rPr>
              <w:t>法院</w:t>
            </w:r>
          </w:p>
        </w:tc>
        <w:tc>
          <w:tcPr>
            <w:tcW w:w="1009" w:type="dxa"/>
            <w:vAlign w:val="center"/>
          </w:tcPr>
          <w:p>
            <w:pPr>
              <w:widowControl/>
              <w:jc w:val="left"/>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办理破产</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rFonts w:hint="eastAsia" w:eastAsiaTheme="minorEastAsia"/>
                <w:szCs w:val="21"/>
                <w:lang w:eastAsia="zh-CN"/>
              </w:rPr>
            </w:pPr>
            <w:r>
              <w:rPr>
                <w:rFonts w:hint="eastAsia" w:ascii="仿宋" w:hAnsi="仿宋" w:eastAsia="仿宋" w:cs="仿宋"/>
                <w:b/>
                <w:bCs/>
                <w:color w:val="000000"/>
                <w:kern w:val="0"/>
                <w:szCs w:val="21"/>
                <w:lang w:val="en-US" w:eastAsia="zh-CN"/>
              </w:rPr>
              <w:t>8</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获得信贷</w:t>
            </w:r>
          </w:p>
        </w:tc>
        <w:tc>
          <w:tcPr>
            <w:tcW w:w="4854" w:type="dxa"/>
            <w:vAlign w:val="top"/>
          </w:tcPr>
          <w:p>
            <w:r>
              <w:rPr>
                <w:rFonts w:hint="eastAsia" w:ascii="仿宋" w:hAnsi="仿宋" w:eastAsia="仿宋" w:cs="仿宋"/>
                <w:szCs w:val="21"/>
              </w:rPr>
              <w:t>制定金融服务民营企业的实施意见，着力解决“融资难”</w:t>
            </w:r>
            <w:r>
              <w:rPr>
                <w:rFonts w:hint="eastAsia" w:ascii="仿宋" w:hAnsi="仿宋" w:eastAsia="仿宋" w:cs="仿宋"/>
                <w:szCs w:val="21"/>
                <w:lang w:eastAsia="zh-CN"/>
              </w:rPr>
              <w:t>、</w:t>
            </w:r>
            <w:r>
              <w:rPr>
                <w:rFonts w:hint="eastAsia" w:ascii="仿宋" w:hAnsi="仿宋" w:eastAsia="仿宋" w:cs="仿宋"/>
                <w:szCs w:val="21"/>
              </w:rPr>
              <w:t>“融资贵”问题；引导金融机构扩大信贷规模，确保新增贷款向民营企业、中小微企业倾斜；创新贷款产品和还款方式，有效降低融资成本；积极引导政府性融资担保机构为小微企业和新型农业经营主体融资提供担保服务，扩大小微企业融资担保规模；金融机构要创新惠及小微企业和新型农业经营主体的金融产品，鼓励开展特许经营权、政府采购订单、收费权、知识产权等新型融资方式，将信用评定与信贷支持挂钩，提升信用主体融资能力。</w:t>
            </w:r>
          </w:p>
        </w:tc>
        <w:tc>
          <w:tcPr>
            <w:tcW w:w="3764" w:type="dxa"/>
            <w:vAlign w:val="top"/>
          </w:tcPr>
          <w:p>
            <w:r>
              <w:rPr>
                <w:rFonts w:hint="eastAsia" w:ascii="仿宋" w:hAnsi="仿宋" w:eastAsia="仿宋" w:cs="仿宋"/>
                <w:szCs w:val="21"/>
              </w:rPr>
              <w:t>降低企业获得信贷难度和成本，提升信贷服务便利度和信贷获得率，提高合法权利力度指数和信用信息深度指数分值。</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孙立军</w:t>
            </w:r>
          </w:p>
        </w:tc>
        <w:tc>
          <w:tcPr>
            <w:tcW w:w="1309" w:type="dxa"/>
            <w:vAlign w:val="center"/>
          </w:tcPr>
          <w:p>
            <w:pPr>
              <w:widowControl/>
              <w:jc w:val="center"/>
              <w:rPr>
                <w:rFonts w:hint="eastAsia" w:ascii="仿宋" w:hAnsi="仿宋" w:eastAsia="仿宋" w:cs="仿宋"/>
                <w:szCs w:val="21"/>
                <w:lang w:eastAsia="zh-CN"/>
              </w:rPr>
            </w:pPr>
            <w:r>
              <w:rPr>
                <w:rFonts w:hint="eastAsia" w:ascii="仿宋" w:hAnsi="仿宋" w:eastAsia="仿宋" w:cs="仿宋"/>
                <w:kern w:val="0"/>
                <w:szCs w:val="21"/>
              </w:rPr>
              <w:t>金融</w:t>
            </w:r>
            <w:r>
              <w:rPr>
                <w:rFonts w:hint="eastAsia" w:ascii="仿宋" w:hAnsi="仿宋" w:eastAsia="仿宋" w:cs="仿宋"/>
                <w:kern w:val="0"/>
                <w:szCs w:val="21"/>
                <w:lang w:val="en-US" w:eastAsia="zh-CN"/>
              </w:rPr>
              <w:t>办</w:t>
            </w:r>
          </w:p>
        </w:tc>
        <w:tc>
          <w:tcPr>
            <w:tcW w:w="1009" w:type="dxa"/>
            <w:vAlign w:val="center"/>
          </w:tcPr>
          <w:p>
            <w:pPr>
              <w:widowControl/>
              <w:jc w:val="left"/>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获得信贷</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trPr>
        <w:tc>
          <w:tcPr>
            <w:tcW w:w="682" w:type="dxa"/>
            <w:vAlign w:val="center"/>
          </w:tcPr>
          <w:p>
            <w:pPr>
              <w:widowControl/>
              <w:jc w:val="center"/>
              <w:rPr>
                <w:rFonts w:hint="eastAsia" w:eastAsiaTheme="minorEastAsia"/>
                <w:szCs w:val="21"/>
                <w:lang w:eastAsia="zh-CN"/>
              </w:rPr>
            </w:pPr>
            <w:r>
              <w:rPr>
                <w:rFonts w:hint="eastAsia" w:ascii="仿宋" w:hAnsi="仿宋" w:eastAsia="仿宋" w:cs="仿宋"/>
                <w:b/>
                <w:bCs/>
                <w:color w:val="000000"/>
                <w:kern w:val="0"/>
                <w:szCs w:val="21"/>
                <w:lang w:val="en-US" w:eastAsia="zh-CN"/>
              </w:rPr>
              <w:t>9</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保护少数投资者</w:t>
            </w:r>
          </w:p>
        </w:tc>
        <w:tc>
          <w:tcPr>
            <w:tcW w:w="4854" w:type="dxa"/>
            <w:vAlign w:val="top"/>
          </w:tcPr>
          <w:p>
            <w:pPr>
              <w:rPr>
                <w:rFonts w:hint="eastAsia" w:ascii="仿宋" w:hAnsi="仿宋" w:eastAsia="仿宋" w:cs="仿宋"/>
                <w:szCs w:val="21"/>
              </w:rPr>
            </w:pPr>
            <w:r>
              <w:rPr>
                <w:rFonts w:hint="eastAsia" w:ascii="仿宋" w:hAnsi="仿宋" w:eastAsia="仿宋" w:cs="仿宋"/>
                <w:szCs w:val="21"/>
                <w:lang w:val="en-US" w:eastAsia="zh-CN"/>
              </w:rPr>
              <w:t>提升</w:t>
            </w:r>
            <w:r>
              <w:rPr>
                <w:rFonts w:hint="eastAsia" w:ascii="仿宋" w:hAnsi="仿宋" w:eastAsia="仿宋" w:cs="仿宋"/>
                <w:szCs w:val="21"/>
              </w:rPr>
              <w:t>信息披露透明度；保护中小股东权利，依法妥善快速处理公司决议效力、股东知情权、利润分配权、优先购买权、股东代表诉讼等股东起诉管理层及董事行为不当案件，破解股东诉讼难问题，加强对中、小股东依法享有的表决权、知情权、利润分配请求权、监督权等权利的司法保护。</w:t>
            </w:r>
          </w:p>
          <w:p>
            <w:pPr>
              <w:pStyle w:val="2"/>
            </w:pPr>
          </w:p>
        </w:tc>
        <w:tc>
          <w:tcPr>
            <w:tcW w:w="3764" w:type="dxa"/>
            <w:vAlign w:val="top"/>
          </w:tcPr>
          <w:p>
            <w:r>
              <w:rPr>
                <w:rFonts w:hint="eastAsia" w:ascii="仿宋" w:hAnsi="仿宋" w:eastAsia="仿宋" w:cs="仿宋"/>
                <w:szCs w:val="21"/>
              </w:rPr>
              <w:t>提升信息披露透明度、董事责任程度指数、股东诉讼便利度指数、股东权利指数、所</w:t>
            </w:r>
            <w:r>
              <w:rPr>
                <w:rFonts w:hint="eastAsia" w:ascii="仿宋" w:hAnsi="仿宋" w:eastAsia="仿宋" w:cs="仿宋"/>
                <w:szCs w:val="21"/>
                <w:lang w:val="en-US" w:eastAsia="zh-CN"/>
              </w:rPr>
              <w:t>有</w:t>
            </w:r>
            <w:r>
              <w:rPr>
                <w:rFonts w:hint="eastAsia" w:ascii="仿宋" w:hAnsi="仿宋" w:eastAsia="仿宋" w:cs="仿宋"/>
                <w:szCs w:val="21"/>
              </w:rPr>
              <w:t>权和管理控制指数。</w:t>
            </w:r>
          </w:p>
        </w:tc>
        <w:tc>
          <w:tcPr>
            <w:tcW w:w="1146"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董双清</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rPr>
              <w:t>法院</w:t>
            </w:r>
          </w:p>
        </w:tc>
        <w:tc>
          <w:tcPr>
            <w:tcW w:w="1009" w:type="dxa"/>
            <w:vAlign w:val="center"/>
          </w:tcPr>
          <w:p>
            <w:pPr>
              <w:widowControl/>
              <w:jc w:val="center"/>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保护少数投资者</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rFonts w:hint="eastAsia" w:eastAsia="仿宋"/>
                <w:szCs w:val="21"/>
                <w:lang w:eastAsia="zh-CN"/>
              </w:rPr>
            </w:pPr>
            <w:r>
              <w:rPr>
                <w:rFonts w:ascii="仿宋" w:hAnsi="仿宋" w:eastAsia="仿宋" w:cs="仿宋"/>
                <w:b/>
                <w:bCs/>
                <w:color w:val="000000"/>
                <w:kern w:val="0"/>
                <w:szCs w:val="21"/>
              </w:rPr>
              <w:t>1</w:t>
            </w:r>
            <w:r>
              <w:rPr>
                <w:rFonts w:hint="eastAsia" w:ascii="仿宋" w:hAnsi="仿宋" w:eastAsia="仿宋" w:cs="仿宋"/>
                <w:b/>
                <w:bCs/>
                <w:color w:val="000000"/>
                <w:kern w:val="0"/>
                <w:szCs w:val="21"/>
                <w:lang w:val="en-US" w:eastAsia="zh-CN"/>
              </w:rPr>
              <w:t>0</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执行合同</w:t>
            </w:r>
          </w:p>
        </w:tc>
        <w:tc>
          <w:tcPr>
            <w:tcW w:w="4854" w:type="dxa"/>
            <w:vAlign w:val="top"/>
          </w:tcPr>
          <w:p>
            <w:r>
              <w:rPr>
                <w:rFonts w:hint="eastAsia" w:ascii="仿宋" w:hAnsi="仿宋" w:eastAsia="仿宋" w:cs="仿宋"/>
                <w:szCs w:val="21"/>
              </w:rPr>
              <w:t>推行合同纠纷案件立案登记改革，推广自助立案、预约立案、网上立案、微信立案模式，方便企业解决合同纠纷。符合条件的案件当事人实现立案环节“最多跑一次”；推进审判执行流程管理系统、电子卷宗深度应用，实现受理审核、提交诉状、缴纳诉讼费、提交答辩书、案件跟踪、审限监督、发布裁判书、申请执行、跟踪执行等全流程电子化司法服务、全程留痕。优化纠纷案件的处理流程；建</w:t>
            </w:r>
            <w:r>
              <w:rPr>
                <w:rFonts w:hint="eastAsia" w:ascii="仿宋" w:hAnsi="仿宋" w:eastAsia="仿宋" w:cs="仿宋"/>
                <w:szCs w:val="21"/>
                <w:lang w:val="en-US" w:eastAsia="zh-CN"/>
              </w:rPr>
              <w:t>立</w:t>
            </w:r>
            <w:r>
              <w:rPr>
                <w:rFonts w:hint="eastAsia" w:ascii="仿宋" w:hAnsi="仿宋" w:eastAsia="仿宋" w:cs="仿宋"/>
                <w:szCs w:val="21"/>
              </w:rPr>
              <w:t>多元商事纠纷解决机制。</w:t>
            </w:r>
          </w:p>
        </w:tc>
        <w:tc>
          <w:tcPr>
            <w:tcW w:w="3764" w:type="dxa"/>
            <w:vAlign w:val="top"/>
          </w:tcPr>
          <w:p>
            <w:r>
              <w:rPr>
                <w:rFonts w:hint="eastAsia" w:ascii="仿宋" w:hAnsi="仿宋" w:eastAsia="仿宋" w:cs="仿宋"/>
                <w:szCs w:val="21"/>
              </w:rPr>
              <w:t>减少通过法院执行合同所需材料；通过法院执行合同所需时间压缩至</w:t>
            </w:r>
            <w:r>
              <w:rPr>
                <w:rFonts w:hint="eastAsia" w:ascii="仿宋" w:hAnsi="仿宋" w:eastAsia="仿宋" w:cs="仿宋"/>
                <w:szCs w:val="21"/>
                <w:lang w:val="en-US" w:eastAsia="zh-CN"/>
              </w:rPr>
              <w:t>90个工作日</w:t>
            </w:r>
            <w:r>
              <w:rPr>
                <w:rFonts w:hint="eastAsia" w:ascii="仿宋" w:hAnsi="仿宋" w:eastAsia="仿宋" w:cs="仿宋"/>
                <w:szCs w:val="21"/>
              </w:rPr>
              <w:t>之内；通过法院执行合同所需成本（总费用占索赔额的比例）降低至</w:t>
            </w:r>
            <w:r>
              <w:rPr>
                <w:rFonts w:ascii="仿宋" w:hAnsi="仿宋" w:eastAsia="仿宋" w:cs="仿宋"/>
                <w:szCs w:val="21"/>
              </w:rPr>
              <w:t>7%</w:t>
            </w:r>
            <w:r>
              <w:rPr>
                <w:rFonts w:hint="eastAsia" w:ascii="仿宋" w:hAnsi="仿宋" w:eastAsia="仿宋" w:cs="仿宋"/>
                <w:szCs w:val="21"/>
              </w:rPr>
              <w:t>之内，提升司法程序质量指数和公司透明度指数。</w:t>
            </w:r>
          </w:p>
        </w:tc>
        <w:tc>
          <w:tcPr>
            <w:tcW w:w="1146" w:type="dxa"/>
            <w:vAlign w:val="center"/>
          </w:tcPr>
          <w:p>
            <w:pPr>
              <w:jc w:val="center"/>
              <w:rPr>
                <w:rFonts w:hint="eastAsia" w:ascii="仿宋" w:hAnsi="仿宋" w:eastAsia="仿宋" w:cs="仿宋"/>
                <w:szCs w:val="21"/>
              </w:rPr>
            </w:pPr>
            <w:r>
              <w:rPr>
                <w:rFonts w:hint="eastAsia" w:ascii="仿宋" w:hAnsi="仿宋" w:eastAsia="仿宋" w:cs="仿宋"/>
                <w:szCs w:val="21"/>
                <w:lang w:val="en-US" w:eastAsia="zh-CN"/>
              </w:rPr>
              <w:t>董双清</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rPr>
              <w:t>法院</w:t>
            </w:r>
          </w:p>
        </w:tc>
        <w:tc>
          <w:tcPr>
            <w:tcW w:w="1009" w:type="dxa"/>
            <w:vAlign w:val="center"/>
          </w:tcPr>
          <w:p>
            <w:pPr>
              <w:widowControl/>
              <w:jc w:val="center"/>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执行合同</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rFonts w:hint="eastAsia" w:eastAsia="仿宋"/>
                <w:szCs w:val="21"/>
                <w:lang w:eastAsia="zh-CN"/>
              </w:rPr>
            </w:pPr>
            <w:r>
              <w:rPr>
                <w:rFonts w:ascii="仿宋" w:hAnsi="仿宋" w:eastAsia="仿宋" w:cs="仿宋"/>
                <w:b/>
                <w:bCs/>
                <w:color w:val="000000"/>
                <w:kern w:val="0"/>
                <w:szCs w:val="21"/>
              </w:rPr>
              <w:t>1</w:t>
            </w:r>
            <w:r>
              <w:rPr>
                <w:rFonts w:hint="eastAsia" w:ascii="仿宋" w:hAnsi="仿宋" w:eastAsia="仿宋" w:cs="仿宋"/>
                <w:b/>
                <w:bCs/>
                <w:color w:val="000000"/>
                <w:kern w:val="0"/>
                <w:szCs w:val="21"/>
                <w:lang w:val="en-US" w:eastAsia="zh-CN"/>
              </w:rPr>
              <w:t>1</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政务服务</w:t>
            </w:r>
          </w:p>
        </w:tc>
        <w:tc>
          <w:tcPr>
            <w:tcW w:w="4854" w:type="dxa"/>
            <w:vAlign w:val="top"/>
          </w:tcPr>
          <w:p>
            <w:r>
              <w:rPr>
                <w:rFonts w:hint="eastAsia" w:ascii="仿宋" w:hAnsi="仿宋" w:eastAsia="仿宋" w:cs="仿宋"/>
                <w:szCs w:val="21"/>
              </w:rPr>
              <w:t>建设全省一流的政务服务大厅，健全完善优化服务功能，推动政务服务事项进驻大厅统一办理，实现必须到现场办理的事项“只进一扇门”。加快推行“前台综合受理、后台分类审批、综合窗口出件”服务模式。</w:t>
            </w:r>
          </w:p>
        </w:tc>
        <w:tc>
          <w:tcPr>
            <w:tcW w:w="3764" w:type="dxa"/>
            <w:vAlign w:val="top"/>
          </w:tcPr>
          <w:p>
            <w:r>
              <w:rPr>
                <w:rFonts w:hint="eastAsia" w:ascii="仿宋" w:hAnsi="仿宋" w:eastAsia="仿宋" w:cs="仿宋"/>
                <w:szCs w:val="21"/>
              </w:rPr>
              <w:t>政务服务事项网上可办率不低于</w:t>
            </w:r>
            <w:r>
              <w:rPr>
                <w:rFonts w:ascii="仿宋" w:hAnsi="仿宋" w:eastAsia="仿宋" w:cs="仿宋"/>
                <w:szCs w:val="21"/>
              </w:rPr>
              <w:t>90%</w:t>
            </w:r>
            <w:r>
              <w:rPr>
                <w:rFonts w:hint="eastAsia" w:ascii="仿宋" w:hAnsi="仿宋" w:eastAsia="仿宋" w:cs="仿宋"/>
                <w:szCs w:val="21"/>
              </w:rPr>
              <w:t>；进驻大厅比率不低于</w:t>
            </w:r>
            <w:r>
              <w:rPr>
                <w:rFonts w:ascii="仿宋" w:hAnsi="仿宋" w:eastAsia="仿宋" w:cs="仿宋"/>
                <w:szCs w:val="21"/>
              </w:rPr>
              <w:t>70%</w:t>
            </w:r>
            <w:r>
              <w:rPr>
                <w:rFonts w:hint="eastAsia" w:ascii="仿宋" w:hAnsi="仿宋" w:eastAsia="仿宋" w:cs="仿宋"/>
                <w:szCs w:val="21"/>
              </w:rPr>
              <w:t>；实现</w:t>
            </w:r>
            <w:r>
              <w:rPr>
                <w:rFonts w:ascii="仿宋" w:hAnsi="仿宋" w:eastAsia="仿宋" w:cs="仿宋"/>
                <w:szCs w:val="21"/>
              </w:rPr>
              <w:t>100</w:t>
            </w:r>
            <w:r>
              <w:rPr>
                <w:rFonts w:hint="eastAsia" w:ascii="仿宋" w:hAnsi="仿宋" w:eastAsia="仿宋" w:cs="仿宋"/>
                <w:szCs w:val="21"/>
              </w:rPr>
              <w:t>个高频事项“最多跑一次”；完成数据共享平台对接与服务；提升政务服务质量和满意</w:t>
            </w:r>
            <w:r>
              <w:rPr>
                <w:rFonts w:hint="eastAsia" w:ascii="仿宋" w:hAnsi="仿宋" w:eastAsia="仿宋" w:cs="仿宋"/>
                <w:szCs w:val="21"/>
                <w:highlight w:val="none"/>
                <w:lang w:eastAsia="zh-CN"/>
              </w:rPr>
              <w:t>度</w:t>
            </w:r>
            <w:r>
              <w:rPr>
                <w:rFonts w:hint="eastAsia" w:ascii="仿宋" w:hAnsi="仿宋" w:eastAsia="仿宋" w:cs="仿宋"/>
                <w:szCs w:val="21"/>
              </w:rPr>
              <w:t>。</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李铭超</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rPr>
              <w:t>营商局</w:t>
            </w:r>
          </w:p>
        </w:tc>
        <w:tc>
          <w:tcPr>
            <w:tcW w:w="1009" w:type="dxa"/>
            <w:vAlign w:val="center"/>
          </w:tcPr>
          <w:p>
            <w:pPr>
              <w:widowControl/>
              <w:jc w:val="center"/>
              <w:rPr>
                <w:b w:val="0"/>
                <w:bCs w:val="0"/>
                <w:szCs w:val="21"/>
              </w:rPr>
            </w:pPr>
            <w:r>
              <w:rPr>
                <w:rFonts w:hint="eastAsia" w:ascii="仿宋_GB2312" w:hAnsi="仿宋_GB2312" w:eastAsia="仿宋_GB2312" w:cs="仿宋_GB2312"/>
                <w:b w:val="0"/>
                <w:bCs w:val="0"/>
                <w:color w:val="000000"/>
                <w:kern w:val="0"/>
                <w:szCs w:val="21"/>
              </w:rPr>
              <w:t>政务服务</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682" w:type="dxa"/>
            <w:vAlign w:val="center"/>
          </w:tcPr>
          <w:p>
            <w:pPr>
              <w:widowControl/>
              <w:jc w:val="center"/>
              <w:rPr>
                <w:rFonts w:hint="eastAsia" w:eastAsia="仿宋"/>
                <w:szCs w:val="21"/>
                <w:lang w:eastAsia="zh-CN"/>
              </w:rPr>
            </w:pPr>
            <w:r>
              <w:rPr>
                <w:rFonts w:ascii="仿宋" w:hAnsi="仿宋" w:eastAsia="仿宋" w:cs="仿宋"/>
                <w:b/>
                <w:bCs/>
                <w:color w:val="000000"/>
                <w:kern w:val="0"/>
                <w:szCs w:val="21"/>
              </w:rPr>
              <w:t>1</w:t>
            </w:r>
            <w:r>
              <w:rPr>
                <w:rFonts w:hint="eastAsia" w:ascii="仿宋" w:hAnsi="仿宋" w:eastAsia="仿宋" w:cs="仿宋"/>
                <w:b/>
                <w:bCs/>
                <w:color w:val="000000"/>
                <w:kern w:val="0"/>
                <w:szCs w:val="21"/>
                <w:lang w:val="en-US" w:eastAsia="zh-CN"/>
              </w:rPr>
              <w:t>2</w:t>
            </w:r>
          </w:p>
        </w:tc>
        <w:tc>
          <w:tcPr>
            <w:tcW w:w="1162" w:type="dxa"/>
            <w:vAlign w:val="center"/>
          </w:tcPr>
          <w:p>
            <w:pPr>
              <w:widowControl/>
              <w:jc w:val="both"/>
              <w:rPr>
                <w:szCs w:val="21"/>
              </w:rPr>
            </w:pPr>
            <w:r>
              <w:rPr>
                <w:rFonts w:hint="eastAsia" w:ascii="仿宋_GB2312" w:hAnsi="仿宋_GB2312" w:eastAsia="仿宋_GB2312" w:cs="仿宋_GB2312"/>
                <w:b/>
                <w:bCs/>
                <w:color w:val="000000"/>
                <w:kern w:val="0"/>
                <w:szCs w:val="21"/>
              </w:rPr>
              <w:t>知识产权创造保护和运用</w:t>
            </w:r>
          </w:p>
        </w:tc>
        <w:tc>
          <w:tcPr>
            <w:tcW w:w="4854" w:type="dxa"/>
            <w:vAlign w:val="top"/>
          </w:tcPr>
          <w:p>
            <w:r>
              <w:rPr>
                <w:rFonts w:hint="eastAsia" w:ascii="仿宋" w:hAnsi="仿宋" w:eastAsia="仿宋" w:cs="仿宋"/>
                <w:szCs w:val="21"/>
              </w:rPr>
              <w:t>加大对市场主体产权保护力度，依法保障企业和企业家合法财产不受侵犯。严厉打击侵犯商标、专利、地理标志等知识产权，以及损害商业信誉、商品声誉的违法行为，</w:t>
            </w:r>
            <w:r>
              <w:rPr>
                <w:rFonts w:hint="eastAsia" w:ascii="仿宋" w:hAnsi="仿宋" w:eastAsia="仿宋" w:cs="仿宋"/>
                <w:szCs w:val="21"/>
                <w:lang w:val="en-US" w:eastAsia="zh-CN"/>
              </w:rPr>
              <w:t>健全完善</w:t>
            </w:r>
            <w:r>
              <w:rPr>
                <w:rFonts w:hint="eastAsia" w:ascii="仿宋" w:hAnsi="仿宋" w:eastAsia="仿宋" w:cs="仿宋"/>
                <w:szCs w:val="21"/>
              </w:rPr>
              <w:t>“双随机</w:t>
            </w:r>
            <w:r>
              <w:rPr>
                <w:rFonts w:hint="eastAsia" w:ascii="仿宋" w:hAnsi="仿宋" w:eastAsia="仿宋" w:cs="仿宋"/>
                <w:szCs w:val="21"/>
                <w:lang w:eastAsia="zh-CN"/>
              </w:rPr>
              <w:t>、</w:t>
            </w:r>
            <w:r>
              <w:rPr>
                <w:rFonts w:hint="eastAsia" w:ascii="仿宋" w:hAnsi="仿宋" w:eastAsia="仿宋" w:cs="仿宋"/>
                <w:szCs w:val="21"/>
              </w:rPr>
              <w:t>一公开”监管模式，</w:t>
            </w:r>
            <w:r>
              <w:rPr>
                <w:rFonts w:hint="eastAsia" w:ascii="仿宋" w:hAnsi="仿宋" w:eastAsia="仿宋" w:cs="仿宋"/>
                <w:szCs w:val="21"/>
                <w:shd w:val="clear" w:color="auto" w:fill="FFFFFF"/>
              </w:rPr>
              <w:t>健全知识产权维权服务机制。</w:t>
            </w:r>
          </w:p>
        </w:tc>
        <w:tc>
          <w:tcPr>
            <w:tcW w:w="3764" w:type="dxa"/>
            <w:vAlign w:val="top"/>
          </w:tcPr>
          <w:p>
            <w:pPr>
              <w:widowControl/>
              <w:jc w:val="left"/>
            </w:pPr>
            <w:r>
              <w:rPr>
                <w:rFonts w:hint="eastAsia" w:ascii="仿宋" w:hAnsi="仿宋" w:eastAsia="仿宋" w:cs="仿宋"/>
                <w:szCs w:val="21"/>
                <w:lang w:val="en-US" w:eastAsia="zh-CN"/>
              </w:rPr>
              <w:t>提升</w:t>
            </w:r>
            <w:r>
              <w:rPr>
                <w:rFonts w:hint="eastAsia" w:ascii="仿宋" w:hAnsi="仿宋" w:eastAsia="仿宋" w:cs="仿宋"/>
                <w:szCs w:val="21"/>
              </w:rPr>
              <w:t>知识产权创造</w:t>
            </w:r>
            <w:r>
              <w:rPr>
                <w:rFonts w:hint="eastAsia" w:ascii="仿宋" w:hAnsi="仿宋" w:eastAsia="仿宋" w:cs="仿宋"/>
                <w:szCs w:val="21"/>
                <w:lang w:val="en-US" w:eastAsia="zh-CN"/>
              </w:rPr>
              <w:t>活</w:t>
            </w:r>
            <w:r>
              <w:rPr>
                <w:rFonts w:hint="eastAsia" w:ascii="仿宋" w:hAnsi="仿宋" w:eastAsia="仿宋" w:cs="仿宋"/>
                <w:szCs w:val="21"/>
              </w:rPr>
              <w:t>力</w:t>
            </w:r>
            <w:r>
              <w:rPr>
                <w:rFonts w:hint="eastAsia" w:ascii="仿宋" w:hAnsi="仿宋" w:eastAsia="仿宋" w:cs="仿宋"/>
                <w:szCs w:val="21"/>
                <w:lang w:val="en-US" w:eastAsia="zh-CN"/>
              </w:rPr>
              <w:t>指数</w:t>
            </w:r>
            <w:r>
              <w:rPr>
                <w:rFonts w:hint="eastAsia" w:ascii="仿宋" w:hAnsi="仿宋" w:eastAsia="仿宋" w:cs="仿宋"/>
                <w:szCs w:val="21"/>
              </w:rPr>
              <w:t>；建立“双随机</w:t>
            </w:r>
            <w:r>
              <w:rPr>
                <w:rFonts w:hint="eastAsia" w:ascii="仿宋" w:hAnsi="仿宋" w:eastAsia="仿宋" w:cs="仿宋"/>
                <w:szCs w:val="21"/>
                <w:lang w:eastAsia="zh-CN"/>
              </w:rPr>
              <w:t>、</w:t>
            </w:r>
            <w:r>
              <w:rPr>
                <w:rFonts w:hint="eastAsia" w:ascii="仿宋" w:hAnsi="仿宋" w:eastAsia="仿宋" w:cs="仿宋"/>
                <w:szCs w:val="21"/>
              </w:rPr>
              <w:t>一公开”监管模式，健全维权保护机制；提高知识产权运用效率；提升知识产权保护社会满意度。</w:t>
            </w:r>
            <w:r>
              <w:rPr>
                <w:rFonts w:hint="eastAsia" w:ascii="仿宋" w:hAnsi="仿宋" w:eastAsia="仿宋" w:cs="仿宋"/>
                <w:szCs w:val="21"/>
                <w:lang w:val="en-US" w:eastAsia="zh-CN"/>
              </w:rPr>
              <w:t>提升</w:t>
            </w:r>
            <w:r>
              <w:rPr>
                <w:rFonts w:hint="eastAsia" w:ascii="仿宋" w:hAnsi="仿宋" w:eastAsia="仿宋" w:cs="仿宋"/>
                <w:szCs w:val="21"/>
              </w:rPr>
              <w:t>专利申请增长</w:t>
            </w:r>
            <w:r>
              <w:rPr>
                <w:rFonts w:hint="eastAsia" w:ascii="仿宋" w:hAnsi="仿宋" w:eastAsia="仿宋" w:cs="仿宋"/>
                <w:szCs w:val="21"/>
                <w:highlight w:val="none"/>
                <w:lang w:eastAsia="zh-CN"/>
              </w:rPr>
              <w:t>率</w:t>
            </w:r>
            <w:r>
              <w:rPr>
                <w:rFonts w:hint="eastAsia" w:ascii="仿宋" w:hAnsi="仿宋" w:eastAsia="仿宋" w:cs="仿宋"/>
                <w:szCs w:val="21"/>
                <w:lang w:val="en-US" w:eastAsia="zh-CN"/>
              </w:rPr>
              <w:t>。</w:t>
            </w:r>
          </w:p>
        </w:tc>
        <w:tc>
          <w:tcPr>
            <w:tcW w:w="1146"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赵国利</w:t>
            </w:r>
          </w:p>
        </w:tc>
        <w:tc>
          <w:tcPr>
            <w:tcW w:w="1309" w:type="dxa"/>
            <w:vAlign w:val="center"/>
          </w:tcPr>
          <w:p>
            <w:pPr>
              <w:widowControl/>
              <w:jc w:val="center"/>
              <w:rPr>
                <w:rFonts w:ascii="仿宋" w:hAnsi="仿宋" w:eastAsia="仿宋" w:cs="仿宋"/>
                <w:szCs w:val="21"/>
              </w:rPr>
            </w:pPr>
            <w:r>
              <w:rPr>
                <w:rFonts w:hint="eastAsia" w:ascii="仿宋" w:hAnsi="仿宋" w:eastAsia="仿宋" w:cs="仿宋"/>
                <w:color w:val="000000"/>
                <w:kern w:val="0"/>
                <w:szCs w:val="21"/>
                <w:highlight w:val="none"/>
              </w:rPr>
              <w:t>市</w:t>
            </w:r>
            <w:r>
              <w:rPr>
                <w:rFonts w:hint="eastAsia" w:ascii="仿宋" w:hAnsi="仿宋" w:eastAsia="仿宋" w:cs="仿宋"/>
                <w:color w:val="000000"/>
                <w:kern w:val="0"/>
                <w:szCs w:val="21"/>
              </w:rPr>
              <w:t>场监管局</w:t>
            </w:r>
          </w:p>
        </w:tc>
        <w:tc>
          <w:tcPr>
            <w:tcW w:w="1009" w:type="dxa"/>
            <w:vAlign w:val="center"/>
          </w:tcPr>
          <w:p>
            <w:pPr>
              <w:widowControl/>
              <w:jc w:val="both"/>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知识产权创造保护和运用</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widowControl/>
              <w:jc w:val="center"/>
              <w:rPr>
                <w:rFonts w:hint="eastAsia" w:eastAsia="仿宋"/>
                <w:szCs w:val="21"/>
                <w:lang w:eastAsia="zh-CN"/>
              </w:rPr>
            </w:pPr>
            <w:r>
              <w:rPr>
                <w:rFonts w:ascii="仿宋" w:hAnsi="仿宋" w:eastAsia="仿宋" w:cs="仿宋"/>
                <w:b/>
                <w:bCs/>
                <w:color w:val="000000"/>
                <w:kern w:val="0"/>
                <w:szCs w:val="21"/>
              </w:rPr>
              <w:t>1</w:t>
            </w:r>
            <w:r>
              <w:rPr>
                <w:rFonts w:hint="eastAsia" w:ascii="仿宋" w:hAnsi="仿宋" w:eastAsia="仿宋" w:cs="仿宋"/>
                <w:b/>
                <w:bCs/>
                <w:color w:val="000000"/>
                <w:kern w:val="0"/>
                <w:szCs w:val="21"/>
                <w:lang w:val="en-US" w:eastAsia="zh-CN"/>
              </w:rPr>
              <w:t>3</w:t>
            </w:r>
          </w:p>
        </w:tc>
        <w:tc>
          <w:tcPr>
            <w:tcW w:w="1162" w:type="dxa"/>
            <w:vAlign w:val="center"/>
          </w:tcPr>
          <w:p>
            <w:pPr>
              <w:widowControl/>
              <w:jc w:val="center"/>
              <w:rPr>
                <w:szCs w:val="21"/>
              </w:rPr>
            </w:pPr>
            <w:r>
              <w:rPr>
                <w:rFonts w:hint="eastAsia" w:ascii="仿宋_GB2312" w:hAnsi="仿宋_GB2312" w:eastAsia="仿宋_GB2312" w:cs="仿宋_GB2312"/>
                <w:b/>
                <w:bCs/>
                <w:color w:val="000000"/>
                <w:kern w:val="0"/>
                <w:szCs w:val="21"/>
              </w:rPr>
              <w:t>信用监管</w:t>
            </w:r>
          </w:p>
        </w:tc>
        <w:tc>
          <w:tcPr>
            <w:tcW w:w="4854" w:type="dxa"/>
            <w:vAlign w:val="top"/>
          </w:tcPr>
          <w:p>
            <w:pPr>
              <w:rPr>
                <w:rFonts w:hint="eastAsia" w:eastAsia="仿宋"/>
                <w:lang w:eastAsia="zh-CN"/>
              </w:rPr>
            </w:pPr>
            <w:r>
              <w:rPr>
                <w:rFonts w:hint="eastAsia" w:ascii="仿宋" w:hAnsi="仿宋" w:eastAsia="仿宋" w:cs="仿宋"/>
                <w:szCs w:val="21"/>
              </w:rPr>
              <w:t>统筹推进信用数据库、门户网站、双公示、信用信息核查、信用异议处理、信用提示等级等业务功能实现。推进信用分类监管，落实差别化管理，对守信者提供绿色通道，对失信者予以曝光，推动形成“一处失信、处处受限”的失信惩戒格局。及时完成与国家信用平台、省</w:t>
            </w:r>
            <w:r>
              <w:rPr>
                <w:rFonts w:hint="eastAsia" w:ascii="仿宋" w:hAnsi="仿宋" w:eastAsia="仿宋" w:cs="仿宋"/>
                <w:szCs w:val="21"/>
                <w:lang w:val="en-US" w:eastAsia="zh-CN"/>
              </w:rPr>
              <w:t>信用</w:t>
            </w:r>
            <w:r>
              <w:rPr>
                <w:rFonts w:hint="eastAsia" w:ascii="仿宋" w:hAnsi="仿宋" w:eastAsia="仿宋" w:cs="仿宋"/>
                <w:szCs w:val="21"/>
              </w:rPr>
              <w:t>平台的信用信息共享交换，充分发挥社会信用体系建设的联合激励和联合惩戒功效</w:t>
            </w:r>
            <w:r>
              <w:rPr>
                <w:rFonts w:hint="eastAsia" w:ascii="仿宋" w:hAnsi="仿宋" w:eastAsia="仿宋" w:cs="仿宋"/>
                <w:szCs w:val="21"/>
                <w:lang w:eastAsia="zh-CN"/>
              </w:rPr>
              <w:t>。</w:t>
            </w:r>
          </w:p>
        </w:tc>
        <w:tc>
          <w:tcPr>
            <w:tcW w:w="3764" w:type="dxa"/>
            <w:vAlign w:val="top"/>
          </w:tcPr>
          <w:p>
            <w:r>
              <w:rPr>
                <w:rFonts w:hint="eastAsia" w:ascii="仿宋" w:hAnsi="仿宋" w:eastAsia="仿宋" w:cs="仿宋"/>
                <w:szCs w:val="21"/>
              </w:rPr>
              <w:t>建立信用信息</w:t>
            </w:r>
            <w:r>
              <w:rPr>
                <w:rFonts w:hint="eastAsia" w:ascii="仿宋" w:hAnsi="仿宋" w:eastAsia="仿宋" w:cs="仿宋"/>
                <w:szCs w:val="21"/>
                <w:lang w:val="en-US" w:eastAsia="zh-CN"/>
              </w:rPr>
              <w:t>应用</w:t>
            </w:r>
            <w:r>
              <w:rPr>
                <w:rFonts w:hint="eastAsia" w:ascii="仿宋" w:hAnsi="仿宋" w:eastAsia="仿宋" w:cs="仿宋"/>
                <w:szCs w:val="21"/>
              </w:rPr>
              <w:t>平台，提升政务诚信、商务诚信、社会诚信、司法公信</w:t>
            </w:r>
            <w:r>
              <w:rPr>
                <w:rFonts w:hint="eastAsia" w:ascii="仿宋" w:hAnsi="仿宋" w:eastAsia="仿宋" w:cs="仿宋"/>
                <w:szCs w:val="21"/>
                <w:lang w:val="en-US" w:eastAsia="zh-CN"/>
              </w:rPr>
              <w:t>水平</w:t>
            </w:r>
            <w:r>
              <w:rPr>
                <w:rFonts w:hint="eastAsia" w:ascii="仿宋" w:hAnsi="仿宋" w:eastAsia="仿宋" w:cs="仿宋"/>
                <w:szCs w:val="21"/>
              </w:rPr>
              <w:t>，建立联合奖惩机制，加大宣传力度，提升社会信用意识。</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李铭超</w:t>
            </w:r>
          </w:p>
        </w:tc>
        <w:tc>
          <w:tcPr>
            <w:tcW w:w="1309" w:type="dxa"/>
            <w:vAlign w:val="center"/>
          </w:tcPr>
          <w:p>
            <w:pPr>
              <w:widowControl/>
              <w:jc w:val="center"/>
              <w:rPr>
                <w:rFonts w:ascii="仿宋" w:hAnsi="仿宋" w:eastAsia="仿宋" w:cs="仿宋"/>
                <w:szCs w:val="21"/>
              </w:rPr>
            </w:pPr>
            <w:r>
              <w:rPr>
                <w:rFonts w:hint="eastAsia" w:ascii="仿宋" w:hAnsi="仿宋" w:eastAsia="仿宋" w:cs="仿宋"/>
                <w:szCs w:val="21"/>
              </w:rPr>
              <w:t>营商局</w:t>
            </w:r>
          </w:p>
        </w:tc>
        <w:tc>
          <w:tcPr>
            <w:tcW w:w="1009" w:type="dxa"/>
            <w:vAlign w:val="center"/>
          </w:tcPr>
          <w:p>
            <w:pPr>
              <w:widowControl/>
              <w:jc w:val="center"/>
              <w:rPr>
                <w:rFonts w:hint="eastAsia" w:eastAsia="仿宋_GB2312"/>
                <w:b w:val="0"/>
                <w:bCs w:val="0"/>
                <w:szCs w:val="21"/>
                <w:lang w:val="en-US" w:eastAsia="zh-CN"/>
              </w:rPr>
            </w:pPr>
            <w:r>
              <w:rPr>
                <w:rFonts w:hint="eastAsia" w:ascii="仿宋_GB2312" w:hAnsi="仿宋_GB2312" w:eastAsia="仿宋_GB2312" w:cs="仿宋_GB2312"/>
                <w:b w:val="0"/>
                <w:bCs w:val="0"/>
                <w:color w:val="000000"/>
                <w:kern w:val="0"/>
                <w:szCs w:val="21"/>
              </w:rPr>
              <w:t>信用监管</w:t>
            </w:r>
            <w:r>
              <w:rPr>
                <w:rFonts w:hint="eastAsia" w:ascii="仿宋_GB2312" w:hAnsi="仿宋_GB2312" w:eastAsia="仿宋_GB2312" w:cs="仿宋_GB2312"/>
                <w:b w:val="0"/>
                <w:bCs w:val="0"/>
                <w:color w:val="000000"/>
                <w:kern w:val="0"/>
                <w:szCs w:val="21"/>
                <w:lang w:val="en-US" w:eastAsia="zh-CN"/>
              </w:rPr>
              <w:t>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Merge w:val="restart"/>
            <w:vAlign w:val="center"/>
          </w:tcPr>
          <w:p>
            <w:pPr>
              <w:widowControl/>
              <w:jc w:val="center"/>
              <w:rPr>
                <w:rFonts w:hint="eastAsia" w:eastAsiaTheme="minorEastAsia"/>
                <w:szCs w:val="21"/>
                <w:lang w:eastAsia="zh-CN"/>
              </w:rPr>
            </w:pPr>
            <w:r>
              <w:rPr>
                <w:rFonts w:ascii="宋体" w:hAnsi="宋体" w:cs="宋体"/>
                <w:b/>
                <w:bCs/>
                <w:color w:val="000000"/>
                <w:kern w:val="0"/>
                <w:szCs w:val="21"/>
              </w:rPr>
              <w:t>1</w:t>
            </w:r>
            <w:r>
              <w:rPr>
                <w:rFonts w:hint="eastAsia" w:ascii="宋体" w:hAnsi="宋体" w:cs="宋体"/>
                <w:b/>
                <w:bCs/>
                <w:color w:val="000000"/>
                <w:kern w:val="0"/>
                <w:szCs w:val="21"/>
                <w:lang w:val="en-US" w:eastAsia="zh-CN"/>
              </w:rPr>
              <w:t>4</w:t>
            </w:r>
          </w:p>
        </w:tc>
        <w:tc>
          <w:tcPr>
            <w:tcW w:w="1162" w:type="dxa"/>
            <w:vAlign w:val="center"/>
          </w:tcPr>
          <w:p>
            <w:pPr>
              <w:widowControl/>
              <w:jc w:val="center"/>
              <w:rPr>
                <w:rFonts w:eastAsia="仿宋_GB2312"/>
                <w:szCs w:val="21"/>
              </w:rPr>
            </w:pPr>
            <w:r>
              <w:rPr>
                <w:rFonts w:hint="eastAsia" w:ascii="仿宋_GB2312" w:hAnsi="仿宋_GB2312" w:eastAsia="仿宋_GB2312" w:cs="仿宋_GB2312"/>
                <w:b/>
                <w:bCs/>
                <w:color w:val="000000"/>
                <w:kern w:val="0"/>
                <w:szCs w:val="21"/>
              </w:rPr>
              <w:t>城市品质</w:t>
            </w:r>
            <w:r>
              <w:rPr>
                <w:rFonts w:ascii="仿宋_GB2312" w:hAnsi="仿宋_GB2312" w:eastAsia="仿宋_GB2312" w:cs="仿宋_GB2312"/>
                <w:b/>
                <w:bCs/>
                <w:color w:val="000000"/>
                <w:kern w:val="0"/>
                <w:szCs w:val="21"/>
              </w:rPr>
              <w:t>-</w:t>
            </w:r>
            <w:r>
              <w:rPr>
                <w:rFonts w:hint="eastAsia" w:ascii="仿宋_GB2312" w:hAnsi="仿宋_GB2312" w:eastAsia="仿宋_GB2312" w:cs="仿宋_GB2312"/>
                <w:color w:val="000000"/>
                <w:kern w:val="0"/>
                <w:szCs w:val="21"/>
              </w:rPr>
              <w:t>创业创新活力</w:t>
            </w:r>
          </w:p>
        </w:tc>
        <w:tc>
          <w:tcPr>
            <w:tcW w:w="4854" w:type="dxa"/>
            <w:vAlign w:val="top"/>
          </w:tcPr>
          <w:p>
            <w:r>
              <w:rPr>
                <w:rFonts w:hint="eastAsia" w:ascii="仿宋" w:hAnsi="仿宋" w:eastAsia="仿宋" w:cs="仿宋"/>
                <w:szCs w:val="21"/>
                <w:lang w:val="en-US" w:eastAsia="zh-CN"/>
              </w:rPr>
              <w:t>鼓励支持科研院所、科技社团与市场主体合作，</w:t>
            </w:r>
            <w:r>
              <w:rPr>
                <w:rFonts w:hint="eastAsia" w:ascii="仿宋" w:hAnsi="仿宋" w:eastAsia="仿宋" w:cs="仿宋"/>
                <w:szCs w:val="21"/>
              </w:rPr>
              <w:t>建立科技创新基地、创业孵化基地、</w:t>
            </w:r>
            <w:r>
              <w:rPr>
                <w:rFonts w:hint="eastAsia" w:ascii="仿宋" w:hAnsi="仿宋" w:eastAsia="仿宋" w:cs="仿宋"/>
                <w:szCs w:val="21"/>
                <w:lang w:val="en-US" w:eastAsia="zh-CN"/>
              </w:rPr>
              <w:t>技术转移示范机构，</w:t>
            </w:r>
            <w:r>
              <w:rPr>
                <w:rFonts w:hint="eastAsia" w:ascii="仿宋" w:hAnsi="仿宋" w:eastAsia="仿宋" w:cs="仿宋"/>
                <w:szCs w:val="21"/>
              </w:rPr>
              <w:t>推动创新创业服务机构和孵化器落地，</w:t>
            </w:r>
            <w:r>
              <w:rPr>
                <w:rFonts w:hint="eastAsia" w:ascii="仿宋" w:hAnsi="仿宋" w:eastAsia="仿宋" w:cs="仿宋"/>
                <w:szCs w:val="21"/>
                <w:lang w:val="en-US" w:eastAsia="zh-CN"/>
              </w:rPr>
              <w:t>为结构调整和高质量发展提供科技支撑和投资比例</w:t>
            </w:r>
            <w:r>
              <w:rPr>
                <w:rFonts w:hint="eastAsia" w:ascii="仿宋" w:hAnsi="仿宋" w:eastAsia="仿宋" w:cs="仿宋"/>
                <w:szCs w:val="21"/>
              </w:rPr>
              <w:t>。</w:t>
            </w:r>
            <w:r>
              <w:rPr>
                <w:rFonts w:hint="eastAsia" w:ascii="仿宋" w:hAnsi="仿宋" w:eastAsia="仿宋" w:cs="仿宋"/>
                <w:szCs w:val="21"/>
                <w:lang w:val="en-US" w:eastAsia="zh-CN"/>
              </w:rPr>
              <w:t>鼓励引导</w:t>
            </w:r>
            <w:r>
              <w:rPr>
                <w:rFonts w:hint="eastAsia" w:ascii="仿宋" w:hAnsi="仿宋" w:eastAsia="仿宋" w:cs="仿宋"/>
                <w:szCs w:val="21"/>
              </w:rPr>
              <w:t>大众创业和万众创新，推动经济</w:t>
            </w:r>
            <w:r>
              <w:rPr>
                <w:rFonts w:hint="eastAsia" w:ascii="仿宋" w:hAnsi="仿宋" w:eastAsia="仿宋" w:cs="仿宋"/>
                <w:szCs w:val="21"/>
                <w:lang w:val="en-US" w:eastAsia="zh-CN"/>
              </w:rPr>
              <w:t>社会向更</w:t>
            </w:r>
            <w:r>
              <w:rPr>
                <w:rFonts w:hint="eastAsia" w:ascii="仿宋" w:hAnsi="仿宋" w:eastAsia="仿宋" w:cs="仿宋"/>
                <w:szCs w:val="21"/>
              </w:rPr>
              <w:t>高质量发展</w:t>
            </w:r>
            <w:r>
              <w:rPr>
                <w:rFonts w:hint="eastAsia" w:ascii="仿宋" w:hAnsi="仿宋" w:eastAsia="仿宋" w:cs="仿宋"/>
                <w:szCs w:val="21"/>
                <w:lang w:val="en-US" w:eastAsia="zh-CN"/>
              </w:rPr>
              <w:t>提供能</w:t>
            </w:r>
            <w:r>
              <w:rPr>
                <w:rFonts w:hint="eastAsia" w:ascii="仿宋" w:hAnsi="仿宋" w:eastAsia="仿宋" w:cs="仿宋"/>
                <w:szCs w:val="21"/>
              </w:rPr>
              <w:t>源动力。</w:t>
            </w:r>
          </w:p>
        </w:tc>
        <w:tc>
          <w:tcPr>
            <w:tcW w:w="3764" w:type="dxa"/>
            <w:vAlign w:val="top"/>
          </w:tcPr>
          <w:p>
            <w:r>
              <w:rPr>
                <w:rFonts w:hint="eastAsia" w:ascii="仿宋" w:hAnsi="仿宋" w:eastAsia="仿宋" w:cs="仿宋"/>
                <w:szCs w:val="21"/>
              </w:rPr>
              <w:t>提升创新创业活力指数；工业技术投资增长率。</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邹达永</w:t>
            </w:r>
          </w:p>
        </w:tc>
        <w:tc>
          <w:tcPr>
            <w:tcW w:w="1309" w:type="dxa"/>
            <w:vAlign w:val="center"/>
          </w:tcPr>
          <w:p>
            <w:pPr>
              <w:widowControl/>
              <w:rPr>
                <w:rFonts w:hint="default" w:eastAsia="仿宋"/>
                <w:lang w:val="en-US" w:eastAsia="zh-CN"/>
              </w:rPr>
            </w:pPr>
            <w:r>
              <w:rPr>
                <w:rFonts w:hint="eastAsia" w:ascii="仿宋_GB2312" w:hAnsi="仿宋_GB2312" w:eastAsia="仿宋_GB2312" w:cs="仿宋_GB2312"/>
                <w:color w:val="000000"/>
                <w:kern w:val="0"/>
                <w:szCs w:val="21"/>
                <w:lang w:val="en-US" w:eastAsia="zh-CN"/>
              </w:rPr>
              <w:t>工信</w:t>
            </w:r>
            <w:r>
              <w:rPr>
                <w:rFonts w:hint="eastAsia" w:ascii="仿宋_GB2312" w:hAnsi="仿宋_GB2312" w:eastAsia="仿宋_GB2312" w:cs="仿宋_GB2312"/>
              </w:rPr>
              <w:t>科技</w:t>
            </w:r>
            <w:r>
              <w:rPr>
                <w:rFonts w:hint="eastAsia" w:ascii="仿宋_GB2312" w:hAnsi="仿宋_GB2312" w:eastAsia="仿宋_GB2312" w:cs="仿宋_GB2312"/>
                <w:color w:val="000000"/>
                <w:kern w:val="0"/>
                <w:szCs w:val="21"/>
                <w:lang w:val="en-US" w:eastAsia="zh-CN"/>
              </w:rPr>
              <w:t>局</w:t>
            </w:r>
          </w:p>
        </w:tc>
        <w:tc>
          <w:tcPr>
            <w:tcW w:w="1009" w:type="dxa"/>
            <w:vAlign w:val="center"/>
          </w:tcPr>
          <w:p>
            <w:pPr>
              <w:widowControl/>
              <w:jc w:val="left"/>
              <w:rPr>
                <w:rFonts w:hint="default" w:eastAsia="仿宋_GB2312"/>
                <w:b w:val="0"/>
                <w:bCs w:val="0"/>
                <w:szCs w:val="21"/>
                <w:lang w:val="en-US" w:eastAsia="zh-CN"/>
              </w:rPr>
            </w:pPr>
            <w:r>
              <w:rPr>
                <w:rFonts w:hint="eastAsia" w:eastAsia="仿宋_GB2312"/>
                <w:b w:val="0"/>
                <w:bCs w:val="0"/>
                <w:szCs w:val="21"/>
                <w:lang w:val="en-US" w:eastAsia="zh-CN"/>
              </w:rPr>
              <w:t>城市品质专项工作组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682" w:type="dxa"/>
            <w:vMerge w:val="continue"/>
          </w:tcPr>
          <w:p>
            <w:pPr>
              <w:rPr>
                <w:szCs w:val="21"/>
              </w:rPr>
            </w:pPr>
          </w:p>
        </w:tc>
        <w:tc>
          <w:tcPr>
            <w:tcW w:w="1162" w:type="dxa"/>
          </w:tcPr>
          <w:p>
            <w:pPr>
              <w:rPr>
                <w:rFonts w:eastAsia="仿宋_GB2312"/>
                <w:szCs w:val="21"/>
              </w:rPr>
            </w:pPr>
            <w:r>
              <w:rPr>
                <w:rFonts w:hint="eastAsia" w:ascii="仿宋_GB2312" w:hAnsi="仿宋_GB2312" w:eastAsia="仿宋_GB2312" w:cs="仿宋_GB2312"/>
                <w:b/>
                <w:bCs/>
                <w:color w:val="000000"/>
                <w:kern w:val="0"/>
                <w:szCs w:val="21"/>
              </w:rPr>
              <w:t>城市品质</w:t>
            </w:r>
            <w:r>
              <w:rPr>
                <w:rFonts w:ascii="仿宋_GB2312" w:hAnsi="仿宋_GB2312" w:eastAsia="仿宋_GB2312" w:cs="仿宋_GB2312"/>
                <w:b/>
                <w:bCs/>
                <w:color w:val="000000"/>
                <w:kern w:val="0"/>
                <w:szCs w:val="21"/>
              </w:rPr>
              <w:t>-</w:t>
            </w:r>
            <w:r>
              <w:rPr>
                <w:rFonts w:hint="eastAsia" w:ascii="仿宋_GB2312" w:hAnsi="仿宋_GB2312" w:eastAsia="仿宋_GB2312" w:cs="仿宋_GB2312"/>
                <w:color w:val="000000"/>
                <w:kern w:val="0"/>
                <w:szCs w:val="21"/>
              </w:rPr>
              <w:t>市场开放包容</w:t>
            </w:r>
          </w:p>
        </w:tc>
        <w:tc>
          <w:tcPr>
            <w:tcW w:w="4854" w:type="dxa"/>
            <w:vAlign w:val="top"/>
          </w:tcPr>
          <w:p>
            <w:r>
              <w:rPr>
                <w:rFonts w:hint="eastAsia" w:ascii="仿宋" w:hAnsi="仿宋" w:eastAsia="仿宋" w:cs="仿宋"/>
                <w:szCs w:val="21"/>
                <w:lang w:val="en-US" w:eastAsia="zh-CN"/>
              </w:rPr>
              <w:t>全</w:t>
            </w:r>
            <w:r>
              <w:rPr>
                <w:rFonts w:hint="eastAsia" w:ascii="仿宋" w:hAnsi="仿宋" w:eastAsia="仿宋" w:cs="仿宋"/>
                <w:szCs w:val="21"/>
              </w:rPr>
              <w:t>面落实准入前国民待遇加负面清单管理制度，负面清单之外的领域按照内外资一致的原则实施管理，不得针对外商投资准入进行限制。除法律、行政法规另有规定外，取消外商投资公司的最低注册资本要求，统一内外资企业资质申请的标准和时限，促进内外资企业公平竞争。提高实际利用外资增长率和对外直接投资增长率，建立外商投诉处理机制。</w:t>
            </w:r>
          </w:p>
        </w:tc>
        <w:tc>
          <w:tcPr>
            <w:tcW w:w="3764" w:type="dxa"/>
            <w:vAlign w:val="top"/>
          </w:tcPr>
          <w:p>
            <w:pPr>
              <w:rPr>
                <w:rFonts w:hint="eastAsia" w:ascii="仿宋" w:hAnsi="仿宋" w:eastAsia="仿宋" w:cs="仿宋"/>
                <w:szCs w:val="21"/>
                <w:lang w:val="en-US" w:eastAsia="zh-CN"/>
              </w:rPr>
            </w:pPr>
            <w:r>
              <w:rPr>
                <w:rFonts w:hint="eastAsia" w:ascii="仿宋" w:hAnsi="仿宋" w:eastAsia="仿宋" w:cs="仿宋"/>
                <w:szCs w:val="21"/>
              </w:rPr>
              <w:t>提升开放包容指数。</w:t>
            </w:r>
            <w:r>
              <w:rPr>
                <w:rFonts w:hint="eastAsia" w:ascii="仿宋" w:hAnsi="仿宋" w:eastAsia="仿宋" w:cs="仿宋"/>
                <w:szCs w:val="21"/>
                <w:lang w:val="en-US" w:eastAsia="zh-CN"/>
              </w:rPr>
              <w:t>提升</w:t>
            </w:r>
            <w:r>
              <w:rPr>
                <w:rFonts w:hint="eastAsia" w:ascii="仿宋" w:hAnsi="仿宋" w:eastAsia="仿宋" w:cs="仿宋"/>
                <w:szCs w:val="21"/>
              </w:rPr>
              <w:t>实际利用外资增长率</w:t>
            </w:r>
            <w:r>
              <w:rPr>
                <w:rFonts w:hint="eastAsia" w:ascii="仿宋" w:hAnsi="仿宋" w:eastAsia="仿宋" w:cs="仿宋"/>
                <w:szCs w:val="21"/>
                <w:lang w:eastAsia="zh-CN"/>
              </w:rPr>
              <w:t>、</w:t>
            </w:r>
            <w:r>
              <w:rPr>
                <w:rFonts w:hint="eastAsia" w:ascii="仿宋" w:hAnsi="仿宋" w:eastAsia="仿宋" w:cs="仿宋"/>
                <w:szCs w:val="21"/>
              </w:rPr>
              <w:t>对外直接投资增长率</w:t>
            </w:r>
            <w:r>
              <w:rPr>
                <w:rFonts w:hint="eastAsia" w:ascii="仿宋" w:hAnsi="仿宋" w:eastAsia="仿宋" w:cs="仿宋"/>
                <w:szCs w:val="21"/>
                <w:lang w:eastAsia="zh-CN"/>
              </w:rPr>
              <w:t>、</w:t>
            </w:r>
            <w:r>
              <w:rPr>
                <w:rFonts w:hint="eastAsia" w:ascii="仿宋" w:hAnsi="仿宋" w:eastAsia="仿宋" w:cs="仿宋"/>
                <w:szCs w:val="21"/>
              </w:rPr>
              <w:t>进出口总额增长率</w:t>
            </w:r>
            <w:r>
              <w:rPr>
                <w:rFonts w:hint="eastAsia" w:ascii="仿宋" w:hAnsi="仿宋" w:eastAsia="仿宋" w:cs="仿宋"/>
                <w:szCs w:val="21"/>
                <w:lang w:val="en-US" w:eastAsia="zh-CN"/>
              </w:rPr>
              <w:t>和</w:t>
            </w:r>
            <w:r>
              <w:rPr>
                <w:rFonts w:hint="eastAsia" w:ascii="仿宋" w:hAnsi="仿宋" w:eastAsia="仿宋" w:cs="仿宋"/>
                <w:szCs w:val="21"/>
              </w:rPr>
              <w:t>民间投资增长率</w:t>
            </w:r>
            <w:r>
              <w:rPr>
                <w:rFonts w:hint="eastAsia" w:ascii="仿宋" w:hAnsi="仿宋" w:eastAsia="仿宋" w:cs="仿宋"/>
                <w:szCs w:val="21"/>
                <w:lang w:eastAsia="zh-CN"/>
              </w:rPr>
              <w:t>。</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董双清</w:t>
            </w:r>
          </w:p>
        </w:tc>
        <w:tc>
          <w:tcPr>
            <w:tcW w:w="1309"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发改委</w:t>
            </w:r>
          </w:p>
          <w:p>
            <w:pPr>
              <w:widowControl/>
              <w:jc w:val="center"/>
              <w:rPr>
                <w:rFonts w:hint="eastAsia" w:ascii="仿宋" w:hAnsi="仿宋" w:eastAsia="仿宋" w:cs="仿宋"/>
                <w:color w:val="000000"/>
                <w:kern w:val="0"/>
                <w:szCs w:val="21"/>
                <w:lang w:val="en-US" w:eastAsia="zh-CN"/>
              </w:rPr>
            </w:pPr>
          </w:p>
        </w:tc>
        <w:tc>
          <w:tcPr>
            <w:tcW w:w="1009" w:type="dxa"/>
            <w:vAlign w:val="top"/>
          </w:tcPr>
          <w:p>
            <w:pPr>
              <w:rPr>
                <w:rFonts w:hint="eastAsia" w:eastAsia="仿宋_GB2312"/>
                <w:b w:val="0"/>
                <w:bCs w:val="0"/>
                <w:szCs w:val="21"/>
                <w:lang w:val="en-US" w:eastAsia="zh-CN"/>
              </w:rPr>
            </w:pPr>
          </w:p>
          <w:p>
            <w:pPr>
              <w:rPr>
                <w:rFonts w:hint="eastAsia" w:eastAsia="仿宋_GB2312"/>
                <w:b w:val="0"/>
                <w:bCs w:val="0"/>
                <w:szCs w:val="21"/>
                <w:lang w:val="en-US" w:eastAsia="zh-CN"/>
              </w:rPr>
            </w:pPr>
          </w:p>
          <w:p>
            <w:pPr>
              <w:rPr>
                <w:b w:val="0"/>
                <w:bCs w:val="0"/>
                <w:szCs w:val="21"/>
              </w:rPr>
            </w:pPr>
            <w:r>
              <w:rPr>
                <w:rFonts w:hint="eastAsia" w:eastAsia="仿宋_GB2312"/>
                <w:b w:val="0"/>
                <w:bCs w:val="0"/>
                <w:szCs w:val="21"/>
                <w:lang w:val="en-US" w:eastAsia="zh-CN"/>
              </w:rPr>
              <w:t>城市品质专项工作组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Merge w:val="continue"/>
          </w:tcPr>
          <w:p>
            <w:pPr>
              <w:rPr>
                <w:szCs w:val="21"/>
              </w:rPr>
            </w:pPr>
          </w:p>
        </w:tc>
        <w:tc>
          <w:tcPr>
            <w:tcW w:w="1162" w:type="dxa"/>
          </w:tcPr>
          <w:p>
            <w:pPr>
              <w:rPr>
                <w:szCs w:val="21"/>
              </w:rPr>
            </w:pPr>
            <w:r>
              <w:rPr>
                <w:rFonts w:hint="eastAsia" w:ascii="仿宋_GB2312" w:hAnsi="仿宋_GB2312" w:eastAsia="仿宋_GB2312" w:cs="仿宋_GB2312"/>
                <w:b/>
                <w:bCs/>
                <w:color w:val="000000"/>
                <w:kern w:val="0"/>
                <w:szCs w:val="21"/>
              </w:rPr>
              <w:t>城市品质</w:t>
            </w:r>
            <w:r>
              <w:rPr>
                <w:rFonts w:ascii="仿宋_GB2312" w:hAnsi="仿宋_GB2312" w:eastAsia="仿宋_GB2312" w:cs="仿宋_GB2312"/>
                <w:b/>
                <w:bCs/>
                <w:color w:val="000000"/>
                <w:kern w:val="0"/>
                <w:szCs w:val="21"/>
              </w:rPr>
              <w:t>-</w:t>
            </w:r>
            <w:r>
              <w:rPr>
                <w:rFonts w:hint="eastAsia" w:ascii="仿宋_GB2312" w:hAnsi="仿宋_GB2312" w:eastAsia="仿宋_GB2312" w:cs="仿宋_GB2312"/>
                <w:color w:val="000000"/>
                <w:kern w:val="0"/>
                <w:szCs w:val="21"/>
              </w:rPr>
              <w:t>文化教育医疗</w:t>
            </w:r>
          </w:p>
        </w:tc>
        <w:tc>
          <w:tcPr>
            <w:tcW w:w="4854" w:type="dxa"/>
            <w:vAlign w:val="top"/>
          </w:tcPr>
          <w:p>
            <w:r>
              <w:rPr>
                <w:rFonts w:hint="eastAsia" w:ascii="仿宋" w:hAnsi="仿宋" w:eastAsia="仿宋" w:cs="仿宋"/>
                <w:szCs w:val="21"/>
              </w:rPr>
              <w:t>加强文化馆、</w:t>
            </w:r>
            <w:r>
              <w:rPr>
                <w:rFonts w:hint="eastAsia" w:ascii="仿宋" w:hAnsi="仿宋" w:eastAsia="仿宋" w:cs="仿宋"/>
                <w:szCs w:val="21"/>
                <w:lang w:val="en-US" w:eastAsia="zh-CN"/>
              </w:rPr>
              <w:t>科技馆、</w:t>
            </w:r>
            <w:r>
              <w:rPr>
                <w:rFonts w:hint="eastAsia" w:ascii="仿宋" w:hAnsi="仿宋" w:eastAsia="仿宋" w:cs="仿宋"/>
                <w:szCs w:val="21"/>
              </w:rPr>
              <w:t>图书馆、公园、广场等公共文化设施建设，举办全民健身、全民科普、全民阅读活动，提升文化服务供给水平，提高全民文化素养。推进学前教育普惠发展和城乡义务教育优质均衡发展，提升高中以上学校数量、升学率和优质教师数量。增加二级甲等以上医院数量、医院床位数量和执业医师数量，提高医师数量、床位数量人均占用率，提高医护比、床护比配备标准。</w:t>
            </w:r>
          </w:p>
        </w:tc>
        <w:tc>
          <w:tcPr>
            <w:tcW w:w="3764" w:type="dxa"/>
            <w:vAlign w:val="top"/>
          </w:tcPr>
          <w:p>
            <w:r>
              <w:rPr>
                <w:rFonts w:hint="eastAsia" w:ascii="仿宋" w:hAnsi="仿宋" w:eastAsia="仿宋" w:cs="仿宋"/>
                <w:szCs w:val="21"/>
                <w:lang w:val="en-US" w:eastAsia="zh-CN"/>
              </w:rPr>
              <w:t>加强</w:t>
            </w:r>
            <w:r>
              <w:rPr>
                <w:rFonts w:hint="eastAsia" w:ascii="仿宋" w:hAnsi="仿宋" w:eastAsia="仿宋" w:cs="仿宋"/>
                <w:szCs w:val="21"/>
              </w:rPr>
              <w:t>公共文化基础</w:t>
            </w:r>
            <w:r>
              <w:rPr>
                <w:rFonts w:hint="eastAsia" w:ascii="仿宋" w:hAnsi="仿宋" w:eastAsia="仿宋" w:cs="仿宋"/>
                <w:szCs w:val="21"/>
                <w:lang w:val="en-US" w:eastAsia="zh-CN"/>
              </w:rPr>
              <w:t>设施建设</w:t>
            </w:r>
            <w:r>
              <w:rPr>
                <w:rFonts w:hint="eastAsia" w:ascii="仿宋" w:hAnsi="仿宋" w:eastAsia="仿宋" w:cs="仿宋"/>
                <w:szCs w:val="21"/>
              </w:rPr>
              <w:t>；公共文化设施每十万常住人口拥有量不低于</w:t>
            </w:r>
            <w:r>
              <w:rPr>
                <w:rFonts w:ascii="仿宋" w:hAnsi="仿宋" w:eastAsia="仿宋" w:cs="仿宋"/>
                <w:szCs w:val="21"/>
              </w:rPr>
              <w:t>0.</w:t>
            </w:r>
            <w:r>
              <w:rPr>
                <w:rFonts w:hint="eastAsia" w:ascii="仿宋" w:hAnsi="仿宋" w:eastAsia="仿宋" w:cs="仿宋"/>
                <w:szCs w:val="21"/>
                <w:lang w:val="en-US" w:eastAsia="zh-CN"/>
              </w:rPr>
              <w:t>7</w:t>
            </w:r>
            <w:r>
              <w:rPr>
                <w:rFonts w:hint="eastAsia" w:ascii="仿宋" w:hAnsi="仿宋" w:eastAsia="仿宋" w:cs="仿宋"/>
                <w:szCs w:val="21"/>
              </w:rPr>
              <w:t>个；公共文化设施人均拥有面积不低于</w:t>
            </w:r>
            <w:r>
              <w:rPr>
                <w:rFonts w:ascii="仿宋" w:hAnsi="仿宋" w:eastAsia="仿宋" w:cs="仿宋"/>
                <w:szCs w:val="21"/>
              </w:rPr>
              <w:t>0.</w:t>
            </w:r>
            <w:r>
              <w:rPr>
                <w:rFonts w:hint="eastAsia" w:ascii="仿宋" w:hAnsi="仿宋" w:eastAsia="仿宋" w:cs="仿宋"/>
                <w:szCs w:val="21"/>
                <w:lang w:val="en-US" w:eastAsia="zh-CN"/>
              </w:rPr>
              <w:t>2</w:t>
            </w:r>
            <w:r>
              <w:rPr>
                <w:rFonts w:hint="eastAsia" w:ascii="仿宋" w:hAnsi="仿宋" w:eastAsia="仿宋" w:cs="仿宋"/>
                <w:szCs w:val="21"/>
              </w:rPr>
              <w:t>平方米；提升公共文化设施服务供给水平。增加高中及以上学校数量和招生人数</w:t>
            </w:r>
            <w:r>
              <w:rPr>
                <w:rFonts w:hint="eastAsia" w:ascii="仿宋" w:hAnsi="仿宋" w:eastAsia="仿宋" w:cs="仿宋"/>
                <w:szCs w:val="21"/>
                <w:lang w:eastAsia="zh-CN"/>
              </w:rPr>
              <w:t>。</w:t>
            </w:r>
            <w:r>
              <w:rPr>
                <w:rFonts w:hint="eastAsia" w:ascii="仿宋" w:hAnsi="仿宋" w:eastAsia="仿宋" w:cs="仿宋"/>
                <w:szCs w:val="21"/>
              </w:rPr>
              <w:t>增加二级甲等及以上医院数量和执业医师数量；医师数占当地常住人口比例不低于</w:t>
            </w:r>
            <w:r>
              <w:rPr>
                <w:rFonts w:ascii="仿宋" w:hAnsi="仿宋" w:eastAsia="仿宋" w:cs="仿宋"/>
                <w:szCs w:val="21"/>
              </w:rPr>
              <w:t>0.13%</w:t>
            </w:r>
            <w:r>
              <w:rPr>
                <w:rFonts w:hint="eastAsia" w:ascii="仿宋" w:hAnsi="仿宋" w:eastAsia="仿宋" w:cs="仿宋"/>
                <w:szCs w:val="21"/>
              </w:rPr>
              <w:t>。</w:t>
            </w: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王淑谧</w:t>
            </w:r>
          </w:p>
        </w:tc>
        <w:tc>
          <w:tcPr>
            <w:tcW w:w="1309" w:type="dxa"/>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教育局</w:t>
            </w:r>
          </w:p>
          <w:p>
            <w:pPr>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卫健局</w:t>
            </w:r>
          </w:p>
          <w:p>
            <w:pPr>
              <w:jc w:val="center"/>
              <w:rPr>
                <w:rFonts w:ascii="仿宋" w:hAnsi="仿宋" w:eastAsia="仿宋" w:cs="仿宋"/>
                <w:szCs w:val="21"/>
              </w:rPr>
            </w:pPr>
          </w:p>
        </w:tc>
        <w:tc>
          <w:tcPr>
            <w:tcW w:w="1009" w:type="dxa"/>
            <w:vAlign w:val="top"/>
          </w:tcPr>
          <w:p>
            <w:pPr>
              <w:rPr>
                <w:rFonts w:hint="eastAsia" w:eastAsia="仿宋_GB2312"/>
                <w:b w:val="0"/>
                <w:bCs w:val="0"/>
                <w:szCs w:val="21"/>
                <w:lang w:val="en-US" w:eastAsia="zh-CN"/>
              </w:rPr>
            </w:pPr>
          </w:p>
          <w:p>
            <w:pPr>
              <w:rPr>
                <w:rFonts w:hint="eastAsia" w:eastAsia="仿宋_GB2312"/>
                <w:b w:val="0"/>
                <w:bCs w:val="0"/>
                <w:szCs w:val="21"/>
                <w:lang w:val="en-US" w:eastAsia="zh-CN"/>
              </w:rPr>
            </w:pPr>
          </w:p>
          <w:p>
            <w:pPr>
              <w:rPr>
                <w:rFonts w:hint="eastAsia" w:eastAsia="仿宋_GB2312"/>
                <w:b w:val="0"/>
                <w:bCs w:val="0"/>
                <w:szCs w:val="21"/>
                <w:lang w:val="en-US" w:eastAsia="zh-CN"/>
              </w:rPr>
            </w:pPr>
          </w:p>
          <w:p>
            <w:pPr>
              <w:rPr>
                <w:b w:val="0"/>
                <w:bCs w:val="0"/>
                <w:szCs w:val="21"/>
              </w:rPr>
            </w:pPr>
            <w:r>
              <w:rPr>
                <w:rFonts w:hint="eastAsia" w:eastAsia="仿宋_GB2312"/>
                <w:b w:val="0"/>
                <w:bCs w:val="0"/>
                <w:szCs w:val="21"/>
                <w:lang w:val="en-US" w:eastAsia="zh-CN"/>
              </w:rPr>
              <w:t>城市品质专项工作组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2" w:type="dxa"/>
            <w:vMerge w:val="continue"/>
          </w:tcPr>
          <w:p>
            <w:pPr>
              <w:rPr>
                <w:szCs w:val="21"/>
              </w:rPr>
            </w:pPr>
          </w:p>
        </w:tc>
        <w:tc>
          <w:tcPr>
            <w:tcW w:w="1162" w:type="dxa"/>
            <w:vMerge w:val="restart"/>
          </w:tcPr>
          <w:p>
            <w:pPr>
              <w:rPr>
                <w:szCs w:val="21"/>
              </w:rPr>
            </w:pPr>
            <w:r>
              <w:rPr>
                <w:rFonts w:hint="eastAsia" w:ascii="仿宋_GB2312" w:hAnsi="仿宋_GB2312" w:eastAsia="仿宋_GB2312" w:cs="仿宋_GB2312"/>
                <w:b/>
                <w:bCs/>
                <w:color w:val="000000"/>
                <w:kern w:val="0"/>
                <w:szCs w:val="21"/>
              </w:rPr>
              <w:t>城市品质</w:t>
            </w:r>
            <w:r>
              <w:rPr>
                <w:rFonts w:ascii="仿宋_GB2312" w:hAnsi="仿宋_GB2312" w:eastAsia="仿宋_GB2312" w:cs="仿宋_GB2312"/>
                <w:b/>
                <w:bCs/>
                <w:color w:val="000000"/>
                <w:kern w:val="0"/>
                <w:szCs w:val="21"/>
              </w:rPr>
              <w:t>-</w:t>
            </w:r>
            <w:r>
              <w:rPr>
                <w:rFonts w:hint="eastAsia" w:ascii="仿宋_GB2312" w:hAnsi="仿宋_GB2312" w:eastAsia="仿宋_GB2312" w:cs="仿宋_GB2312"/>
                <w:color w:val="000000"/>
                <w:kern w:val="0"/>
                <w:szCs w:val="21"/>
              </w:rPr>
              <w:t>生态环境保护保局</w:t>
            </w:r>
          </w:p>
        </w:tc>
        <w:tc>
          <w:tcPr>
            <w:tcW w:w="4854" w:type="dxa"/>
            <w:vMerge w:val="restart"/>
            <w:vAlign w:val="top"/>
          </w:tcPr>
          <w:p>
            <w:pPr>
              <w:rPr>
                <w:rFonts w:hint="eastAsia" w:eastAsia="仿宋"/>
                <w:lang w:eastAsia="zh-CN"/>
              </w:rPr>
            </w:pPr>
            <w:r>
              <w:rPr>
                <w:rFonts w:hint="eastAsia" w:ascii="仿宋" w:hAnsi="仿宋" w:eastAsia="仿宋" w:cs="仿宋"/>
                <w:szCs w:val="21"/>
              </w:rPr>
              <w:t>强</w:t>
            </w:r>
            <w:r>
              <w:rPr>
                <w:rFonts w:hint="eastAsia" w:ascii="仿宋" w:hAnsi="仿宋" w:eastAsia="仿宋" w:cs="仿宋"/>
                <w:szCs w:val="21"/>
                <w:shd w:val="clear" w:color="auto" w:fill="FFFFFF"/>
              </w:rPr>
              <w:t>化区域联防联控和雾霾污染天气应对，持续改善大气环境质量。</w:t>
            </w:r>
            <w:r>
              <w:rPr>
                <w:rFonts w:hint="eastAsia" w:ascii="仿宋" w:hAnsi="仿宋" w:eastAsia="仿宋" w:cs="仿宋"/>
                <w:szCs w:val="21"/>
              </w:rPr>
              <w:t>治理城市黑臭水体，不断改进水环境质量。加快推进垃圾分类处理，增加城市绿化覆盖率，打造宜居城市。严格落实河长制、湖长制，加强流域综合整治，保障饮用水安全</w:t>
            </w:r>
            <w:r>
              <w:rPr>
                <w:rFonts w:hint="eastAsia" w:ascii="仿宋" w:hAnsi="仿宋" w:eastAsia="仿宋" w:cs="仿宋"/>
                <w:szCs w:val="21"/>
                <w:lang w:eastAsia="zh-CN"/>
              </w:rPr>
              <w:t>。</w:t>
            </w:r>
          </w:p>
        </w:tc>
        <w:tc>
          <w:tcPr>
            <w:tcW w:w="3764" w:type="dxa"/>
            <w:vMerge w:val="restart"/>
            <w:vAlign w:val="top"/>
          </w:tcPr>
          <w:p>
            <w:r>
              <w:rPr>
                <w:rFonts w:hint="eastAsia" w:ascii="仿宋" w:hAnsi="仿宋" w:eastAsia="仿宋" w:cs="仿宋"/>
                <w:szCs w:val="21"/>
                <w:lang w:val="en-US" w:eastAsia="zh-CN"/>
              </w:rPr>
              <w:t>进一步提高</w:t>
            </w:r>
            <w:r>
              <w:rPr>
                <w:rFonts w:hint="eastAsia" w:ascii="仿宋" w:hAnsi="仿宋" w:eastAsia="仿宋" w:cs="仿宋"/>
                <w:szCs w:val="21"/>
              </w:rPr>
              <w:t>绿化覆盖</w:t>
            </w:r>
            <w:r>
              <w:rPr>
                <w:rFonts w:hint="eastAsia" w:ascii="仿宋" w:hAnsi="仿宋" w:eastAsia="仿宋" w:cs="仿宋"/>
                <w:szCs w:val="21"/>
                <w:lang w:eastAsia="zh-CN"/>
              </w:rPr>
              <w:t>、</w:t>
            </w:r>
            <w:r>
              <w:rPr>
                <w:rFonts w:hint="eastAsia" w:ascii="仿宋" w:hAnsi="仿宋" w:eastAsia="仿宋" w:cs="仿宋"/>
                <w:szCs w:val="21"/>
              </w:rPr>
              <w:t>空气质量达标率</w:t>
            </w:r>
            <w:r>
              <w:rPr>
                <w:rFonts w:hint="eastAsia" w:ascii="仿宋" w:hAnsi="仿宋" w:eastAsia="仿宋" w:cs="仿宋"/>
                <w:szCs w:val="21"/>
                <w:lang w:eastAsia="zh-CN"/>
              </w:rPr>
              <w:t>、</w:t>
            </w:r>
            <w:r>
              <w:rPr>
                <w:rFonts w:hint="eastAsia" w:ascii="仿宋" w:hAnsi="仿宋" w:eastAsia="仿宋" w:cs="仿宋"/>
                <w:szCs w:val="21"/>
              </w:rPr>
              <w:t>国考断面三类及以上水质达标率</w:t>
            </w:r>
            <w:r>
              <w:rPr>
                <w:rFonts w:hint="eastAsia" w:ascii="仿宋" w:hAnsi="仿宋" w:eastAsia="仿宋" w:cs="仿宋"/>
                <w:szCs w:val="21"/>
                <w:lang w:eastAsia="zh-CN"/>
              </w:rPr>
              <w:t>、</w:t>
            </w:r>
            <w:r>
              <w:rPr>
                <w:rFonts w:hint="eastAsia" w:ascii="仿宋" w:hAnsi="仿宋" w:eastAsia="仿宋" w:cs="仿宋"/>
                <w:szCs w:val="21"/>
                <w:lang w:val="en-US" w:eastAsia="zh-CN"/>
              </w:rPr>
              <w:t>省考断面三类及以上水质达标率和</w:t>
            </w:r>
            <w:r>
              <w:rPr>
                <w:rFonts w:hint="eastAsia" w:ascii="仿宋" w:hAnsi="仿宋" w:eastAsia="仿宋" w:cs="仿宋"/>
                <w:szCs w:val="21"/>
              </w:rPr>
              <w:t>城市污水处理率</w:t>
            </w:r>
            <w:r>
              <w:rPr>
                <w:rFonts w:hint="eastAsia" w:ascii="仿宋" w:hAnsi="仿宋" w:eastAsia="仿宋" w:cs="仿宋"/>
                <w:szCs w:val="21"/>
                <w:lang w:eastAsia="zh-CN"/>
              </w:rPr>
              <w:t>。</w:t>
            </w:r>
          </w:p>
        </w:tc>
        <w:tc>
          <w:tcPr>
            <w:tcW w:w="1146" w:type="dxa"/>
            <w:vAlign w:val="center"/>
          </w:tcPr>
          <w:p>
            <w:pPr>
              <w:ind w:firstLine="210" w:firstLineChars="100"/>
              <w:jc w:val="both"/>
              <w:rPr>
                <w:rFonts w:hint="eastAsia" w:eastAsiaTheme="minorEastAsia"/>
                <w:lang w:val="en-US" w:eastAsia="zh-CN"/>
              </w:rPr>
            </w:pPr>
            <w:r>
              <w:rPr>
                <w:rFonts w:hint="eastAsia" w:ascii="仿宋" w:hAnsi="仿宋" w:eastAsia="仿宋" w:cs="仿宋"/>
                <w:szCs w:val="21"/>
                <w:lang w:val="en-US" w:eastAsia="zh-CN"/>
              </w:rPr>
              <w:t>董双清</w:t>
            </w:r>
          </w:p>
        </w:tc>
        <w:tc>
          <w:tcPr>
            <w:tcW w:w="1309" w:type="dxa"/>
            <w:vAlign w:val="center"/>
          </w:tcPr>
          <w:p>
            <w:pPr>
              <w:rPr>
                <w:rFonts w:hint="default"/>
                <w:lang w:val="en-US" w:eastAsia="zh-CN"/>
              </w:rPr>
            </w:pPr>
            <w:r>
              <w:rPr>
                <w:rFonts w:hint="eastAsia" w:ascii="仿宋" w:hAnsi="仿宋" w:eastAsia="仿宋" w:cs="仿宋"/>
                <w:szCs w:val="21"/>
              </w:rPr>
              <w:t>生态环境局</w:t>
            </w:r>
          </w:p>
        </w:tc>
        <w:tc>
          <w:tcPr>
            <w:tcW w:w="1009" w:type="dxa"/>
            <w:vMerge w:val="restart"/>
            <w:vAlign w:val="top"/>
          </w:tcPr>
          <w:p>
            <w:pPr>
              <w:rPr>
                <w:rFonts w:hint="eastAsia" w:eastAsia="仿宋_GB2312"/>
                <w:szCs w:val="21"/>
                <w:lang w:val="en-US" w:eastAsia="zh-CN"/>
              </w:rPr>
            </w:pPr>
          </w:p>
          <w:p>
            <w:pPr>
              <w:rPr>
                <w:szCs w:val="21"/>
              </w:rPr>
            </w:pPr>
            <w:r>
              <w:rPr>
                <w:rFonts w:hint="eastAsia" w:eastAsia="仿宋_GB2312"/>
                <w:szCs w:val="21"/>
                <w:lang w:val="en-US" w:eastAsia="zh-CN"/>
              </w:rPr>
              <w:t>城市品质专项工作组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82" w:type="dxa"/>
            <w:vMerge w:val="continue"/>
          </w:tcPr>
          <w:p>
            <w:pPr>
              <w:jc w:val="center"/>
            </w:pPr>
          </w:p>
        </w:tc>
        <w:tc>
          <w:tcPr>
            <w:tcW w:w="1162" w:type="dxa"/>
            <w:vMerge w:val="continue"/>
          </w:tcPr>
          <w:p>
            <w:pPr>
              <w:jc w:val="center"/>
            </w:pPr>
          </w:p>
        </w:tc>
        <w:tc>
          <w:tcPr>
            <w:tcW w:w="4854" w:type="dxa"/>
            <w:vMerge w:val="continue"/>
            <w:vAlign w:val="top"/>
          </w:tcPr>
          <w:p>
            <w:pPr>
              <w:jc w:val="center"/>
            </w:pPr>
          </w:p>
        </w:tc>
        <w:tc>
          <w:tcPr>
            <w:tcW w:w="3764" w:type="dxa"/>
            <w:vMerge w:val="continue"/>
            <w:vAlign w:val="top"/>
          </w:tcPr>
          <w:p>
            <w:pPr>
              <w:jc w:val="center"/>
            </w:pPr>
          </w:p>
        </w:tc>
        <w:tc>
          <w:tcPr>
            <w:tcW w:w="1146"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孙立军</w:t>
            </w:r>
          </w:p>
        </w:tc>
        <w:tc>
          <w:tcPr>
            <w:tcW w:w="1309" w:type="dxa"/>
            <w:vAlign w:val="center"/>
          </w:tcPr>
          <w:p>
            <w:pPr>
              <w:pStyle w:val="2"/>
              <w:ind w:left="0" w:leftChars="0" w:firstLine="0" w:firstLineChars="0"/>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住建局</w:t>
            </w:r>
          </w:p>
          <w:p>
            <w:pPr>
              <w:jc w:val="center"/>
              <w:rPr>
                <w:rFonts w:hint="eastAsia" w:ascii="仿宋" w:hAnsi="仿宋" w:eastAsia="仿宋" w:cs="仿宋"/>
                <w:szCs w:val="21"/>
              </w:rPr>
            </w:pPr>
            <w:r>
              <w:rPr>
                <w:rFonts w:hint="eastAsia" w:ascii="仿宋" w:hAnsi="仿宋" w:eastAsia="仿宋" w:cs="仿宋"/>
                <w:color w:val="000000"/>
                <w:kern w:val="0"/>
                <w:szCs w:val="21"/>
                <w:lang w:val="en-US" w:eastAsia="zh-CN"/>
              </w:rPr>
              <w:t>综合执法局</w:t>
            </w:r>
          </w:p>
        </w:tc>
        <w:tc>
          <w:tcPr>
            <w:tcW w:w="1009" w:type="dxa"/>
            <w:vMerge w:val="continue"/>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82" w:type="dxa"/>
            <w:vMerge w:val="continue"/>
          </w:tcPr>
          <w:p>
            <w:pPr>
              <w:rPr>
                <w:szCs w:val="21"/>
              </w:rPr>
            </w:pPr>
          </w:p>
        </w:tc>
        <w:tc>
          <w:tcPr>
            <w:tcW w:w="1162" w:type="dxa"/>
            <w:vMerge w:val="continue"/>
          </w:tcPr>
          <w:p>
            <w:pPr>
              <w:rPr>
                <w:rFonts w:hint="eastAsia" w:ascii="仿宋_GB2312" w:hAnsi="仿宋_GB2312" w:eastAsia="仿宋_GB2312" w:cs="仿宋_GB2312"/>
                <w:b/>
                <w:bCs/>
                <w:color w:val="000000"/>
                <w:kern w:val="0"/>
                <w:szCs w:val="21"/>
              </w:rPr>
            </w:pPr>
          </w:p>
        </w:tc>
        <w:tc>
          <w:tcPr>
            <w:tcW w:w="4854" w:type="dxa"/>
            <w:vMerge w:val="continue"/>
            <w:vAlign w:val="top"/>
          </w:tcPr>
          <w:p>
            <w:pPr>
              <w:rPr>
                <w:rFonts w:hint="eastAsia" w:ascii="仿宋" w:hAnsi="仿宋" w:eastAsia="仿宋" w:cs="仿宋"/>
                <w:szCs w:val="21"/>
              </w:rPr>
            </w:pPr>
          </w:p>
        </w:tc>
        <w:tc>
          <w:tcPr>
            <w:tcW w:w="3764" w:type="dxa"/>
            <w:vMerge w:val="continue"/>
            <w:vAlign w:val="top"/>
          </w:tcPr>
          <w:p>
            <w:pPr>
              <w:rPr>
                <w:rFonts w:hint="eastAsia" w:ascii="仿宋" w:hAnsi="仿宋" w:eastAsia="仿宋" w:cs="仿宋"/>
                <w:szCs w:val="21"/>
                <w:lang w:val="en-US" w:eastAsia="zh-CN"/>
              </w:rPr>
            </w:pPr>
          </w:p>
        </w:tc>
        <w:tc>
          <w:tcPr>
            <w:tcW w:w="1146"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董双清</w:t>
            </w:r>
          </w:p>
        </w:tc>
        <w:tc>
          <w:tcPr>
            <w:tcW w:w="1309" w:type="dxa"/>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水务局</w:t>
            </w:r>
          </w:p>
        </w:tc>
        <w:tc>
          <w:tcPr>
            <w:tcW w:w="1009" w:type="dxa"/>
            <w:vMerge w:val="continue"/>
          </w:tcPr>
          <w:p>
            <w:pPr>
              <w:rPr>
                <w:rFonts w:hint="eastAsia"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682" w:type="dxa"/>
            <w:vMerge w:val="continue"/>
          </w:tcPr>
          <w:p>
            <w:pPr>
              <w:rPr>
                <w:szCs w:val="21"/>
              </w:rPr>
            </w:pPr>
          </w:p>
        </w:tc>
        <w:tc>
          <w:tcPr>
            <w:tcW w:w="1162" w:type="dxa"/>
            <w:vMerge w:val="restart"/>
          </w:tcPr>
          <w:p>
            <w:pPr>
              <w:rPr>
                <w:szCs w:val="21"/>
              </w:rPr>
            </w:pPr>
            <w:r>
              <w:rPr>
                <w:rFonts w:hint="eastAsia" w:ascii="仿宋_GB2312" w:hAnsi="仿宋_GB2312" w:eastAsia="仿宋_GB2312" w:cs="仿宋_GB2312"/>
                <w:b/>
                <w:bCs/>
                <w:color w:val="000000"/>
                <w:kern w:val="0"/>
                <w:szCs w:val="21"/>
              </w:rPr>
              <w:t>城市品质</w:t>
            </w:r>
            <w:r>
              <w:rPr>
                <w:rFonts w:ascii="仿宋_GB2312" w:hAnsi="仿宋_GB2312" w:eastAsia="仿宋_GB2312" w:cs="仿宋_GB2312"/>
                <w:b/>
                <w:bCs/>
                <w:color w:val="000000"/>
                <w:kern w:val="0"/>
                <w:szCs w:val="21"/>
              </w:rPr>
              <w:t>-</w:t>
            </w:r>
            <w:r>
              <w:rPr>
                <w:rFonts w:hint="eastAsia" w:ascii="仿宋_GB2312" w:hAnsi="仿宋_GB2312" w:eastAsia="仿宋_GB2312" w:cs="仿宋_GB2312"/>
                <w:color w:val="000000"/>
                <w:kern w:val="0"/>
                <w:szCs w:val="21"/>
              </w:rPr>
              <w:t>交通高效便捷</w:t>
            </w:r>
          </w:p>
        </w:tc>
        <w:tc>
          <w:tcPr>
            <w:tcW w:w="4854" w:type="dxa"/>
            <w:vMerge w:val="restart"/>
            <w:vAlign w:val="top"/>
          </w:tcPr>
          <w:p>
            <w:r>
              <w:rPr>
                <w:rFonts w:hint="eastAsia" w:ascii="仿宋" w:hAnsi="仿宋" w:eastAsia="仿宋" w:cs="仿宋"/>
                <w:szCs w:val="21"/>
              </w:rPr>
              <w:t>加快推进绥大高速</w:t>
            </w:r>
            <w:r>
              <w:rPr>
                <w:rFonts w:hint="eastAsia" w:ascii="仿宋" w:hAnsi="仿宋" w:eastAsia="仿宋" w:cs="仿宋"/>
                <w:szCs w:val="21"/>
                <w:lang w:val="en-US" w:eastAsia="zh-CN"/>
              </w:rPr>
              <w:t>望奎段</w:t>
            </w:r>
            <w:r>
              <w:rPr>
                <w:rFonts w:hint="eastAsia" w:ascii="仿宋" w:hAnsi="仿宋" w:eastAsia="仿宋" w:cs="仿宋"/>
                <w:szCs w:val="21"/>
              </w:rPr>
              <w:t>建设，</w:t>
            </w:r>
            <w:r>
              <w:rPr>
                <w:rFonts w:hint="eastAsia" w:ascii="仿宋" w:hAnsi="仿宋" w:eastAsia="仿宋" w:cs="仿宋"/>
                <w:szCs w:val="21"/>
                <w:lang w:val="en-US" w:eastAsia="zh-CN"/>
              </w:rPr>
              <w:t>做好我县绥大高速望奎县征地拆迁协调服务工作，</w:t>
            </w:r>
            <w:r>
              <w:rPr>
                <w:rFonts w:hint="eastAsia" w:ascii="仿宋" w:hAnsi="仿宋" w:eastAsia="仿宋" w:cs="仿宋"/>
                <w:szCs w:val="21"/>
              </w:rPr>
              <w:t>改善我</w:t>
            </w:r>
            <w:r>
              <w:rPr>
                <w:rFonts w:hint="eastAsia" w:ascii="仿宋" w:hAnsi="仿宋" w:eastAsia="仿宋" w:cs="仿宋"/>
                <w:szCs w:val="21"/>
                <w:lang w:val="en-US" w:eastAsia="zh-CN"/>
              </w:rPr>
              <w:t>县</w:t>
            </w:r>
            <w:r>
              <w:rPr>
                <w:rFonts w:hint="eastAsia" w:ascii="仿宋" w:hAnsi="仿宋" w:eastAsia="仿宋" w:cs="仿宋"/>
                <w:szCs w:val="21"/>
              </w:rPr>
              <w:t>交通运输条件，</w:t>
            </w:r>
            <w:r>
              <w:rPr>
                <w:rFonts w:hint="eastAsia" w:ascii="仿宋" w:hAnsi="仿宋" w:eastAsia="仿宋" w:cs="仿宋"/>
                <w:szCs w:val="21"/>
                <w:lang w:val="en-US" w:eastAsia="zh-CN"/>
              </w:rPr>
              <w:t>提高客运量和货运量，</w:t>
            </w:r>
            <w:r>
              <w:rPr>
                <w:rFonts w:hint="eastAsia" w:ascii="仿宋" w:hAnsi="仿宋" w:eastAsia="仿宋" w:cs="仿宋"/>
                <w:szCs w:val="21"/>
              </w:rPr>
              <w:t>带动</w:t>
            </w:r>
            <w:r>
              <w:rPr>
                <w:rFonts w:hint="eastAsia" w:ascii="仿宋" w:hAnsi="仿宋" w:eastAsia="仿宋" w:cs="仿宋"/>
                <w:szCs w:val="21"/>
                <w:lang w:val="en-US" w:eastAsia="zh-CN"/>
              </w:rPr>
              <w:t>我县</w:t>
            </w:r>
            <w:r>
              <w:rPr>
                <w:rFonts w:hint="eastAsia" w:ascii="仿宋" w:hAnsi="仿宋" w:eastAsia="仿宋" w:cs="仿宋"/>
                <w:szCs w:val="21"/>
              </w:rPr>
              <w:t>经济发展。着力解决停车难问题，要认真做好停车场的规划和建设，合理设置停车区间，合理引导车辆出行，减少周期性交通拥堵路口发生率。</w:t>
            </w:r>
          </w:p>
        </w:tc>
        <w:tc>
          <w:tcPr>
            <w:tcW w:w="3764" w:type="dxa"/>
            <w:vMerge w:val="restart"/>
            <w:vAlign w:val="top"/>
          </w:tcPr>
          <w:p>
            <w:r>
              <w:rPr>
                <w:rFonts w:hint="eastAsia" w:ascii="仿宋" w:hAnsi="仿宋" w:eastAsia="仿宋" w:cs="仿宋"/>
                <w:szCs w:val="21"/>
              </w:rPr>
              <w:t>提升城市干线道路密度指数；</w:t>
            </w:r>
            <w:r>
              <w:rPr>
                <w:rFonts w:hint="eastAsia" w:ascii="仿宋" w:hAnsi="仿宋" w:eastAsia="仿宋" w:cs="仿宋"/>
                <w:szCs w:val="21"/>
                <w:lang w:val="en-US" w:eastAsia="zh-CN"/>
              </w:rPr>
              <w:t>进一步提高</w:t>
            </w:r>
            <w:r>
              <w:rPr>
                <w:rFonts w:hint="eastAsia" w:ascii="仿宋" w:hAnsi="仿宋" w:eastAsia="仿宋" w:cs="仿宋"/>
                <w:szCs w:val="21"/>
              </w:rPr>
              <w:t>客运</w:t>
            </w:r>
            <w:r>
              <w:rPr>
                <w:rFonts w:hint="eastAsia" w:ascii="仿宋" w:hAnsi="仿宋" w:eastAsia="仿宋" w:cs="仿宋"/>
                <w:szCs w:val="21"/>
                <w:lang w:val="en-US" w:eastAsia="zh-CN"/>
              </w:rPr>
              <w:t>量</w:t>
            </w:r>
            <w:r>
              <w:rPr>
                <w:rFonts w:hint="eastAsia" w:ascii="仿宋" w:hAnsi="仿宋" w:eastAsia="仿宋" w:cs="仿宋"/>
                <w:szCs w:val="21"/>
              </w:rPr>
              <w:t>货运量。</w:t>
            </w:r>
          </w:p>
        </w:tc>
        <w:tc>
          <w:tcPr>
            <w:tcW w:w="1146"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赵国利</w:t>
            </w:r>
          </w:p>
        </w:tc>
        <w:tc>
          <w:tcPr>
            <w:tcW w:w="1309" w:type="dxa"/>
            <w:vAlign w:val="center"/>
          </w:tcPr>
          <w:p>
            <w:pPr>
              <w:jc w:val="center"/>
              <w:rPr>
                <w:rFonts w:ascii="仿宋" w:hAnsi="仿宋" w:eastAsia="仿宋" w:cs="仿宋"/>
                <w:szCs w:val="21"/>
              </w:rPr>
            </w:pPr>
            <w:r>
              <w:rPr>
                <w:rFonts w:hint="eastAsia" w:ascii="仿宋" w:hAnsi="仿宋" w:eastAsia="仿宋" w:cs="仿宋"/>
                <w:color w:val="000000"/>
                <w:kern w:val="0"/>
                <w:szCs w:val="21"/>
              </w:rPr>
              <w:t>交通运输局</w:t>
            </w:r>
          </w:p>
        </w:tc>
        <w:tc>
          <w:tcPr>
            <w:tcW w:w="1009" w:type="dxa"/>
            <w:vMerge w:val="restart"/>
            <w:vAlign w:val="top"/>
          </w:tcPr>
          <w:p>
            <w:pPr>
              <w:rPr>
                <w:rFonts w:hint="eastAsia" w:eastAsia="仿宋_GB2312"/>
                <w:szCs w:val="21"/>
                <w:lang w:val="en-US" w:eastAsia="zh-CN"/>
              </w:rPr>
            </w:pPr>
          </w:p>
          <w:p>
            <w:pPr>
              <w:rPr>
                <w:szCs w:val="21"/>
              </w:rPr>
            </w:pPr>
            <w:r>
              <w:rPr>
                <w:rFonts w:hint="eastAsia" w:eastAsia="仿宋_GB2312"/>
                <w:szCs w:val="21"/>
                <w:lang w:val="en-US" w:eastAsia="zh-CN"/>
              </w:rPr>
              <w:t>城市品质专项工作组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682" w:type="dxa"/>
            <w:vMerge w:val="continue"/>
          </w:tcPr>
          <w:p>
            <w:pPr>
              <w:jc w:val="center"/>
            </w:pPr>
          </w:p>
        </w:tc>
        <w:tc>
          <w:tcPr>
            <w:tcW w:w="1162" w:type="dxa"/>
            <w:vMerge w:val="continue"/>
          </w:tcPr>
          <w:p>
            <w:pPr>
              <w:jc w:val="center"/>
            </w:pPr>
          </w:p>
        </w:tc>
        <w:tc>
          <w:tcPr>
            <w:tcW w:w="4854" w:type="dxa"/>
            <w:vMerge w:val="continue"/>
            <w:vAlign w:val="top"/>
          </w:tcPr>
          <w:p>
            <w:pPr>
              <w:jc w:val="center"/>
            </w:pPr>
          </w:p>
        </w:tc>
        <w:tc>
          <w:tcPr>
            <w:tcW w:w="3764" w:type="dxa"/>
            <w:vMerge w:val="continue"/>
            <w:vAlign w:val="top"/>
          </w:tcPr>
          <w:p>
            <w:pPr>
              <w:jc w:val="center"/>
            </w:pPr>
          </w:p>
        </w:tc>
        <w:tc>
          <w:tcPr>
            <w:tcW w:w="1146"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孙立军</w:t>
            </w:r>
          </w:p>
        </w:tc>
        <w:tc>
          <w:tcPr>
            <w:tcW w:w="1309" w:type="dxa"/>
            <w:vAlign w:val="center"/>
          </w:tcPr>
          <w:p>
            <w:pPr>
              <w:jc w:val="center"/>
              <w:rPr>
                <w:rFonts w:hint="eastAsia" w:ascii="仿宋" w:hAnsi="仿宋" w:eastAsia="仿宋" w:cs="仿宋"/>
                <w:szCs w:val="21"/>
                <w:lang w:eastAsia="zh-CN"/>
              </w:rPr>
            </w:pPr>
            <w:r>
              <w:rPr>
                <w:rFonts w:hint="eastAsia" w:ascii="仿宋" w:hAnsi="仿宋" w:eastAsia="仿宋" w:cs="仿宋"/>
                <w:color w:val="000000"/>
                <w:kern w:val="0"/>
                <w:szCs w:val="21"/>
                <w:lang w:val="en-US" w:eastAsia="zh-CN"/>
              </w:rPr>
              <w:t>综合执法局</w:t>
            </w:r>
          </w:p>
        </w:tc>
        <w:tc>
          <w:tcPr>
            <w:tcW w:w="1009" w:type="dxa"/>
            <w:vMerge w:val="continue"/>
          </w:tcPr>
          <w:p>
            <w:pPr>
              <w:jc w:val="center"/>
              <w:rPr>
                <w:rFonts w:hint="eastAsia" w:ascii="仿宋" w:hAnsi="仿宋" w:eastAsia="仿宋" w:cs="仿宋"/>
                <w:szCs w:val="21"/>
              </w:rPr>
            </w:pPr>
          </w:p>
        </w:tc>
      </w:tr>
    </w:tbl>
    <w:p>
      <w:pPr>
        <w:rPr>
          <w:rFonts w:hint="eastAsia"/>
          <w:lang w:eastAsia="zh-C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17769"/>
    <w:rsid w:val="004428E1"/>
    <w:rsid w:val="0081386E"/>
    <w:rsid w:val="009C608F"/>
    <w:rsid w:val="00B23F1D"/>
    <w:rsid w:val="00C460DF"/>
    <w:rsid w:val="00F545F0"/>
    <w:rsid w:val="016874A1"/>
    <w:rsid w:val="01732A4F"/>
    <w:rsid w:val="019F3DAC"/>
    <w:rsid w:val="01A831B4"/>
    <w:rsid w:val="01AF67EF"/>
    <w:rsid w:val="01C96C94"/>
    <w:rsid w:val="01ED7B13"/>
    <w:rsid w:val="01EE4057"/>
    <w:rsid w:val="02647C1A"/>
    <w:rsid w:val="02763F81"/>
    <w:rsid w:val="02A9006D"/>
    <w:rsid w:val="02FA552D"/>
    <w:rsid w:val="032223FC"/>
    <w:rsid w:val="0339698C"/>
    <w:rsid w:val="037A641E"/>
    <w:rsid w:val="03C5112D"/>
    <w:rsid w:val="03D1558A"/>
    <w:rsid w:val="03E11282"/>
    <w:rsid w:val="03F07CE9"/>
    <w:rsid w:val="03F91617"/>
    <w:rsid w:val="040C0763"/>
    <w:rsid w:val="041F0874"/>
    <w:rsid w:val="042203D6"/>
    <w:rsid w:val="043748E5"/>
    <w:rsid w:val="048F4A8A"/>
    <w:rsid w:val="04AE61D3"/>
    <w:rsid w:val="04B46281"/>
    <w:rsid w:val="04BF07AC"/>
    <w:rsid w:val="04D91449"/>
    <w:rsid w:val="051376B8"/>
    <w:rsid w:val="052704BC"/>
    <w:rsid w:val="052C1A94"/>
    <w:rsid w:val="0560713D"/>
    <w:rsid w:val="059D03FC"/>
    <w:rsid w:val="05B863E6"/>
    <w:rsid w:val="05C05E5D"/>
    <w:rsid w:val="05D24ADE"/>
    <w:rsid w:val="05F91C3E"/>
    <w:rsid w:val="061D2ED1"/>
    <w:rsid w:val="062472C2"/>
    <w:rsid w:val="06281922"/>
    <w:rsid w:val="062F25E3"/>
    <w:rsid w:val="0649115F"/>
    <w:rsid w:val="065D70D4"/>
    <w:rsid w:val="06635C56"/>
    <w:rsid w:val="068E040D"/>
    <w:rsid w:val="06C66E77"/>
    <w:rsid w:val="06D439C1"/>
    <w:rsid w:val="07181752"/>
    <w:rsid w:val="073F479D"/>
    <w:rsid w:val="074844B9"/>
    <w:rsid w:val="0752415F"/>
    <w:rsid w:val="075C5786"/>
    <w:rsid w:val="07DB4452"/>
    <w:rsid w:val="07F97071"/>
    <w:rsid w:val="080812C4"/>
    <w:rsid w:val="0815540C"/>
    <w:rsid w:val="085F13BB"/>
    <w:rsid w:val="087047A0"/>
    <w:rsid w:val="088B15D0"/>
    <w:rsid w:val="088E1A71"/>
    <w:rsid w:val="08A40AC4"/>
    <w:rsid w:val="08B976D9"/>
    <w:rsid w:val="08BA7F5B"/>
    <w:rsid w:val="08E008C1"/>
    <w:rsid w:val="08EC2488"/>
    <w:rsid w:val="095C6BF5"/>
    <w:rsid w:val="0967093F"/>
    <w:rsid w:val="0977088B"/>
    <w:rsid w:val="097F1382"/>
    <w:rsid w:val="09A71114"/>
    <w:rsid w:val="09DB6D15"/>
    <w:rsid w:val="09FF4C2D"/>
    <w:rsid w:val="0A5E2C91"/>
    <w:rsid w:val="0ABF0DBE"/>
    <w:rsid w:val="0AD57A2B"/>
    <w:rsid w:val="0AD87E87"/>
    <w:rsid w:val="0AF04712"/>
    <w:rsid w:val="0B3F7D2B"/>
    <w:rsid w:val="0B721662"/>
    <w:rsid w:val="0B7313E5"/>
    <w:rsid w:val="0B7D332B"/>
    <w:rsid w:val="0B9A3A82"/>
    <w:rsid w:val="0BD479BF"/>
    <w:rsid w:val="0BE528B8"/>
    <w:rsid w:val="0BE70FF0"/>
    <w:rsid w:val="0C172907"/>
    <w:rsid w:val="0C201115"/>
    <w:rsid w:val="0CC049E9"/>
    <w:rsid w:val="0CC370FA"/>
    <w:rsid w:val="0D071357"/>
    <w:rsid w:val="0D092BCE"/>
    <w:rsid w:val="0D156B6F"/>
    <w:rsid w:val="0D6D59C4"/>
    <w:rsid w:val="0D7C66E9"/>
    <w:rsid w:val="0D8E6B19"/>
    <w:rsid w:val="0D9B2924"/>
    <w:rsid w:val="0D9F0FE1"/>
    <w:rsid w:val="0DA253ED"/>
    <w:rsid w:val="0DB160FA"/>
    <w:rsid w:val="0DE97FEE"/>
    <w:rsid w:val="0E637AC1"/>
    <w:rsid w:val="0E81675C"/>
    <w:rsid w:val="0E8D28F4"/>
    <w:rsid w:val="0E8F3584"/>
    <w:rsid w:val="0EAB1065"/>
    <w:rsid w:val="0F1410E9"/>
    <w:rsid w:val="0F3215B1"/>
    <w:rsid w:val="0F434DA1"/>
    <w:rsid w:val="0F72744C"/>
    <w:rsid w:val="0F882C8B"/>
    <w:rsid w:val="0FE17769"/>
    <w:rsid w:val="0FEF670C"/>
    <w:rsid w:val="10096DE1"/>
    <w:rsid w:val="10380AC5"/>
    <w:rsid w:val="11040E0C"/>
    <w:rsid w:val="11065DB0"/>
    <w:rsid w:val="11186B18"/>
    <w:rsid w:val="11882145"/>
    <w:rsid w:val="11A0232D"/>
    <w:rsid w:val="11A300A3"/>
    <w:rsid w:val="11A6383D"/>
    <w:rsid w:val="11E61FC1"/>
    <w:rsid w:val="11E743B6"/>
    <w:rsid w:val="11F46421"/>
    <w:rsid w:val="11F55D23"/>
    <w:rsid w:val="1217591D"/>
    <w:rsid w:val="122364BE"/>
    <w:rsid w:val="12405353"/>
    <w:rsid w:val="125940C3"/>
    <w:rsid w:val="125D067D"/>
    <w:rsid w:val="12864405"/>
    <w:rsid w:val="12DE5D24"/>
    <w:rsid w:val="12F12D91"/>
    <w:rsid w:val="132C441F"/>
    <w:rsid w:val="135676B8"/>
    <w:rsid w:val="13681910"/>
    <w:rsid w:val="136D451B"/>
    <w:rsid w:val="1375416D"/>
    <w:rsid w:val="13FE5E92"/>
    <w:rsid w:val="14643D5F"/>
    <w:rsid w:val="14794D5D"/>
    <w:rsid w:val="1494377F"/>
    <w:rsid w:val="14F95183"/>
    <w:rsid w:val="15197A7A"/>
    <w:rsid w:val="15472C8D"/>
    <w:rsid w:val="15547405"/>
    <w:rsid w:val="15987274"/>
    <w:rsid w:val="15A53B9D"/>
    <w:rsid w:val="16156517"/>
    <w:rsid w:val="166B743E"/>
    <w:rsid w:val="16746DF4"/>
    <w:rsid w:val="168253AF"/>
    <w:rsid w:val="16D8350E"/>
    <w:rsid w:val="16FD2EB2"/>
    <w:rsid w:val="1711513C"/>
    <w:rsid w:val="173751E8"/>
    <w:rsid w:val="176D3141"/>
    <w:rsid w:val="177471BE"/>
    <w:rsid w:val="178A1443"/>
    <w:rsid w:val="1797775E"/>
    <w:rsid w:val="17AB6B4E"/>
    <w:rsid w:val="17DF36A5"/>
    <w:rsid w:val="17E96993"/>
    <w:rsid w:val="17FF3F6A"/>
    <w:rsid w:val="180D17F2"/>
    <w:rsid w:val="18374DE8"/>
    <w:rsid w:val="183E3229"/>
    <w:rsid w:val="19066B23"/>
    <w:rsid w:val="19420A8E"/>
    <w:rsid w:val="194B6C1D"/>
    <w:rsid w:val="196E6E98"/>
    <w:rsid w:val="19724A1C"/>
    <w:rsid w:val="19AB5957"/>
    <w:rsid w:val="19D95F99"/>
    <w:rsid w:val="19DE14B7"/>
    <w:rsid w:val="1A047575"/>
    <w:rsid w:val="1A054734"/>
    <w:rsid w:val="1A1415D3"/>
    <w:rsid w:val="1A1E5A44"/>
    <w:rsid w:val="1A36212D"/>
    <w:rsid w:val="1A615D57"/>
    <w:rsid w:val="1A7C502C"/>
    <w:rsid w:val="1ABC3902"/>
    <w:rsid w:val="1AC90DBB"/>
    <w:rsid w:val="1AC973C7"/>
    <w:rsid w:val="1B133106"/>
    <w:rsid w:val="1B5C3217"/>
    <w:rsid w:val="1B6E1142"/>
    <w:rsid w:val="1B910521"/>
    <w:rsid w:val="1BA44567"/>
    <w:rsid w:val="1BA55D04"/>
    <w:rsid w:val="1BC07456"/>
    <w:rsid w:val="1BF456C2"/>
    <w:rsid w:val="1BFF236F"/>
    <w:rsid w:val="1C0072D9"/>
    <w:rsid w:val="1C023A65"/>
    <w:rsid w:val="1C655052"/>
    <w:rsid w:val="1C751B3D"/>
    <w:rsid w:val="1C7846C8"/>
    <w:rsid w:val="1C7C7D34"/>
    <w:rsid w:val="1C8F5596"/>
    <w:rsid w:val="1CAF3CBB"/>
    <w:rsid w:val="1CBA6B83"/>
    <w:rsid w:val="1CCC13CD"/>
    <w:rsid w:val="1CD00C0A"/>
    <w:rsid w:val="1D246E11"/>
    <w:rsid w:val="1DB6188A"/>
    <w:rsid w:val="1DBA5102"/>
    <w:rsid w:val="1DC14FD8"/>
    <w:rsid w:val="1DC626FD"/>
    <w:rsid w:val="1E1428DF"/>
    <w:rsid w:val="1E17373E"/>
    <w:rsid w:val="1E2F36DC"/>
    <w:rsid w:val="1E3C32B5"/>
    <w:rsid w:val="1E6A07EC"/>
    <w:rsid w:val="1E965368"/>
    <w:rsid w:val="1F034EA0"/>
    <w:rsid w:val="1F32791D"/>
    <w:rsid w:val="1F761037"/>
    <w:rsid w:val="1F7A1B65"/>
    <w:rsid w:val="1F956B5A"/>
    <w:rsid w:val="1FE13327"/>
    <w:rsid w:val="2056643B"/>
    <w:rsid w:val="205A3143"/>
    <w:rsid w:val="205E431D"/>
    <w:rsid w:val="20862449"/>
    <w:rsid w:val="20934E55"/>
    <w:rsid w:val="20956AFF"/>
    <w:rsid w:val="209E0277"/>
    <w:rsid w:val="20AD178F"/>
    <w:rsid w:val="20AD6DB2"/>
    <w:rsid w:val="20B84CB8"/>
    <w:rsid w:val="20BC6586"/>
    <w:rsid w:val="20F06308"/>
    <w:rsid w:val="211350C5"/>
    <w:rsid w:val="21280190"/>
    <w:rsid w:val="212F2EFE"/>
    <w:rsid w:val="21463447"/>
    <w:rsid w:val="21796598"/>
    <w:rsid w:val="218577CE"/>
    <w:rsid w:val="21DA0CC5"/>
    <w:rsid w:val="21DA5CC8"/>
    <w:rsid w:val="2217755B"/>
    <w:rsid w:val="224D128B"/>
    <w:rsid w:val="229615F1"/>
    <w:rsid w:val="2298710F"/>
    <w:rsid w:val="22C04695"/>
    <w:rsid w:val="23042D91"/>
    <w:rsid w:val="230A4141"/>
    <w:rsid w:val="233D08BE"/>
    <w:rsid w:val="237436F0"/>
    <w:rsid w:val="23883352"/>
    <w:rsid w:val="23CA4BE6"/>
    <w:rsid w:val="23D94CA1"/>
    <w:rsid w:val="23DC066A"/>
    <w:rsid w:val="242A556F"/>
    <w:rsid w:val="242B2CA5"/>
    <w:rsid w:val="24504909"/>
    <w:rsid w:val="24692540"/>
    <w:rsid w:val="248D4730"/>
    <w:rsid w:val="249D0350"/>
    <w:rsid w:val="24EF23EF"/>
    <w:rsid w:val="250E3091"/>
    <w:rsid w:val="25184880"/>
    <w:rsid w:val="2567737B"/>
    <w:rsid w:val="258052AB"/>
    <w:rsid w:val="25A103C7"/>
    <w:rsid w:val="26545420"/>
    <w:rsid w:val="26565ED3"/>
    <w:rsid w:val="268152D2"/>
    <w:rsid w:val="26901ED8"/>
    <w:rsid w:val="272515A5"/>
    <w:rsid w:val="2754549D"/>
    <w:rsid w:val="27754C1F"/>
    <w:rsid w:val="27A9654C"/>
    <w:rsid w:val="27B3444B"/>
    <w:rsid w:val="27FE23A5"/>
    <w:rsid w:val="287870CD"/>
    <w:rsid w:val="28EF3D48"/>
    <w:rsid w:val="29370421"/>
    <w:rsid w:val="295A3413"/>
    <w:rsid w:val="295F0E22"/>
    <w:rsid w:val="29D4021C"/>
    <w:rsid w:val="29E54BB9"/>
    <w:rsid w:val="29E84309"/>
    <w:rsid w:val="2A226799"/>
    <w:rsid w:val="2A6D657D"/>
    <w:rsid w:val="2AA52239"/>
    <w:rsid w:val="2ABB4334"/>
    <w:rsid w:val="2B0B0E09"/>
    <w:rsid w:val="2B282E65"/>
    <w:rsid w:val="2B4422C9"/>
    <w:rsid w:val="2B802F07"/>
    <w:rsid w:val="2B830690"/>
    <w:rsid w:val="2BC85480"/>
    <w:rsid w:val="2BD062F7"/>
    <w:rsid w:val="2BF144CA"/>
    <w:rsid w:val="2C3620B7"/>
    <w:rsid w:val="2CC9734D"/>
    <w:rsid w:val="2D0456C3"/>
    <w:rsid w:val="2D2E25A6"/>
    <w:rsid w:val="2D5B0021"/>
    <w:rsid w:val="2D823503"/>
    <w:rsid w:val="2D970DE3"/>
    <w:rsid w:val="2D975D83"/>
    <w:rsid w:val="2E16552C"/>
    <w:rsid w:val="2E1F6EAE"/>
    <w:rsid w:val="2E281467"/>
    <w:rsid w:val="2E40133A"/>
    <w:rsid w:val="2EA50416"/>
    <w:rsid w:val="2EB63BBB"/>
    <w:rsid w:val="2EB64093"/>
    <w:rsid w:val="2EDF07B5"/>
    <w:rsid w:val="2EE07883"/>
    <w:rsid w:val="2EE94645"/>
    <w:rsid w:val="2F2129AE"/>
    <w:rsid w:val="2F3F421D"/>
    <w:rsid w:val="2F432A8E"/>
    <w:rsid w:val="2F4D73CE"/>
    <w:rsid w:val="2F8A5393"/>
    <w:rsid w:val="2F977471"/>
    <w:rsid w:val="2F9800D4"/>
    <w:rsid w:val="2FA50AD1"/>
    <w:rsid w:val="2FC73938"/>
    <w:rsid w:val="2FFF7C72"/>
    <w:rsid w:val="3004067D"/>
    <w:rsid w:val="30546AEE"/>
    <w:rsid w:val="3098247B"/>
    <w:rsid w:val="30F071F9"/>
    <w:rsid w:val="311B2A53"/>
    <w:rsid w:val="314B5C94"/>
    <w:rsid w:val="31632C26"/>
    <w:rsid w:val="31923B0D"/>
    <w:rsid w:val="31D80F2E"/>
    <w:rsid w:val="31DA73A2"/>
    <w:rsid w:val="31E840C5"/>
    <w:rsid w:val="31F5174B"/>
    <w:rsid w:val="3211702E"/>
    <w:rsid w:val="323B0F9E"/>
    <w:rsid w:val="32624FC4"/>
    <w:rsid w:val="32FA3B16"/>
    <w:rsid w:val="33643A3A"/>
    <w:rsid w:val="33644F17"/>
    <w:rsid w:val="337105E9"/>
    <w:rsid w:val="337E4183"/>
    <w:rsid w:val="33A50F0F"/>
    <w:rsid w:val="33EF08E2"/>
    <w:rsid w:val="341F46E2"/>
    <w:rsid w:val="34511A27"/>
    <w:rsid w:val="347124FF"/>
    <w:rsid w:val="34915E37"/>
    <w:rsid w:val="34AA0F9C"/>
    <w:rsid w:val="34AE34DD"/>
    <w:rsid w:val="34BD12E5"/>
    <w:rsid w:val="3510275F"/>
    <w:rsid w:val="35537300"/>
    <w:rsid w:val="356127AD"/>
    <w:rsid w:val="35FA5454"/>
    <w:rsid w:val="36143A70"/>
    <w:rsid w:val="36304639"/>
    <w:rsid w:val="36313FC7"/>
    <w:rsid w:val="36827F23"/>
    <w:rsid w:val="36926AA3"/>
    <w:rsid w:val="369501D1"/>
    <w:rsid w:val="36D44664"/>
    <w:rsid w:val="36F6544D"/>
    <w:rsid w:val="36FA7D96"/>
    <w:rsid w:val="37650770"/>
    <w:rsid w:val="37824485"/>
    <w:rsid w:val="37A64243"/>
    <w:rsid w:val="37E4652F"/>
    <w:rsid w:val="38413155"/>
    <w:rsid w:val="38A85FA4"/>
    <w:rsid w:val="38BE0006"/>
    <w:rsid w:val="38C74152"/>
    <w:rsid w:val="38D14770"/>
    <w:rsid w:val="38D970FF"/>
    <w:rsid w:val="38DD173D"/>
    <w:rsid w:val="38DF1ACB"/>
    <w:rsid w:val="38E144B4"/>
    <w:rsid w:val="390C6DB1"/>
    <w:rsid w:val="39335986"/>
    <w:rsid w:val="397F4210"/>
    <w:rsid w:val="398571DF"/>
    <w:rsid w:val="39940713"/>
    <w:rsid w:val="39BD6EB5"/>
    <w:rsid w:val="39BF5AF0"/>
    <w:rsid w:val="39C733D8"/>
    <w:rsid w:val="3A216E03"/>
    <w:rsid w:val="3A313A72"/>
    <w:rsid w:val="3A56568B"/>
    <w:rsid w:val="3A6B0207"/>
    <w:rsid w:val="3A7F0FA7"/>
    <w:rsid w:val="3A87462E"/>
    <w:rsid w:val="3A91428D"/>
    <w:rsid w:val="3AD43E84"/>
    <w:rsid w:val="3ADE2AA7"/>
    <w:rsid w:val="3B581BAD"/>
    <w:rsid w:val="3B6E5736"/>
    <w:rsid w:val="3BA352CF"/>
    <w:rsid w:val="3BC27E27"/>
    <w:rsid w:val="3BF41873"/>
    <w:rsid w:val="3C6625E8"/>
    <w:rsid w:val="3C774950"/>
    <w:rsid w:val="3CB50A62"/>
    <w:rsid w:val="3CCE3384"/>
    <w:rsid w:val="3D0B6A68"/>
    <w:rsid w:val="3D2B1EC2"/>
    <w:rsid w:val="3D4F2783"/>
    <w:rsid w:val="3D592BC3"/>
    <w:rsid w:val="3D6154CF"/>
    <w:rsid w:val="3D9B5772"/>
    <w:rsid w:val="3DBD5FE5"/>
    <w:rsid w:val="3DC63C1B"/>
    <w:rsid w:val="3DF72DC0"/>
    <w:rsid w:val="3E1A6836"/>
    <w:rsid w:val="3E3F1196"/>
    <w:rsid w:val="3E524838"/>
    <w:rsid w:val="3EAD2F5F"/>
    <w:rsid w:val="3EDD5C32"/>
    <w:rsid w:val="3EE526B9"/>
    <w:rsid w:val="3F0060F2"/>
    <w:rsid w:val="3F35484E"/>
    <w:rsid w:val="3F935583"/>
    <w:rsid w:val="3FAF551F"/>
    <w:rsid w:val="3FBA204E"/>
    <w:rsid w:val="3FC42952"/>
    <w:rsid w:val="401C0F4A"/>
    <w:rsid w:val="40285F88"/>
    <w:rsid w:val="40BB3988"/>
    <w:rsid w:val="41133292"/>
    <w:rsid w:val="412F21D0"/>
    <w:rsid w:val="41862529"/>
    <w:rsid w:val="418A7C64"/>
    <w:rsid w:val="41A30DF7"/>
    <w:rsid w:val="41B7495E"/>
    <w:rsid w:val="41DD0353"/>
    <w:rsid w:val="422163BD"/>
    <w:rsid w:val="422D055F"/>
    <w:rsid w:val="424F0845"/>
    <w:rsid w:val="42737349"/>
    <w:rsid w:val="427E1880"/>
    <w:rsid w:val="428840D2"/>
    <w:rsid w:val="4289106E"/>
    <w:rsid w:val="42EB0D05"/>
    <w:rsid w:val="42F5376B"/>
    <w:rsid w:val="437B2643"/>
    <w:rsid w:val="43856BD0"/>
    <w:rsid w:val="43A90AF7"/>
    <w:rsid w:val="43B87A57"/>
    <w:rsid w:val="43BB7BFD"/>
    <w:rsid w:val="43EC0241"/>
    <w:rsid w:val="43EE112C"/>
    <w:rsid w:val="440107DC"/>
    <w:rsid w:val="44171B66"/>
    <w:rsid w:val="44516851"/>
    <w:rsid w:val="44D061D7"/>
    <w:rsid w:val="44D53B4E"/>
    <w:rsid w:val="44F64884"/>
    <w:rsid w:val="45182954"/>
    <w:rsid w:val="455311F5"/>
    <w:rsid w:val="45541711"/>
    <w:rsid w:val="45706511"/>
    <w:rsid w:val="458F51C7"/>
    <w:rsid w:val="45EE4BFB"/>
    <w:rsid w:val="460A7541"/>
    <w:rsid w:val="46262FB2"/>
    <w:rsid w:val="464B7CEF"/>
    <w:rsid w:val="468D2DFF"/>
    <w:rsid w:val="4696191F"/>
    <w:rsid w:val="46AC46D6"/>
    <w:rsid w:val="46C448CF"/>
    <w:rsid w:val="46DC7F32"/>
    <w:rsid w:val="46F742B0"/>
    <w:rsid w:val="4702714D"/>
    <w:rsid w:val="470978D0"/>
    <w:rsid w:val="47266D1B"/>
    <w:rsid w:val="47471C9B"/>
    <w:rsid w:val="47851D00"/>
    <w:rsid w:val="47893131"/>
    <w:rsid w:val="47BB130D"/>
    <w:rsid w:val="47C0032D"/>
    <w:rsid w:val="47DB681D"/>
    <w:rsid w:val="480E1684"/>
    <w:rsid w:val="49000C26"/>
    <w:rsid w:val="491F47BA"/>
    <w:rsid w:val="49272578"/>
    <w:rsid w:val="492D3907"/>
    <w:rsid w:val="4938748E"/>
    <w:rsid w:val="49437657"/>
    <w:rsid w:val="49612204"/>
    <w:rsid w:val="497A3333"/>
    <w:rsid w:val="49960B83"/>
    <w:rsid w:val="49991D18"/>
    <w:rsid w:val="49AF77DD"/>
    <w:rsid w:val="49C739D2"/>
    <w:rsid w:val="49F84EDE"/>
    <w:rsid w:val="4A1015B3"/>
    <w:rsid w:val="4A244526"/>
    <w:rsid w:val="4A2B5463"/>
    <w:rsid w:val="4A482F18"/>
    <w:rsid w:val="4A590637"/>
    <w:rsid w:val="4A6D1CDE"/>
    <w:rsid w:val="4A93229F"/>
    <w:rsid w:val="4AA26B5D"/>
    <w:rsid w:val="4AB3055C"/>
    <w:rsid w:val="4B48776A"/>
    <w:rsid w:val="4B4D7E24"/>
    <w:rsid w:val="4B553C5A"/>
    <w:rsid w:val="4BE87C5E"/>
    <w:rsid w:val="4BF37E11"/>
    <w:rsid w:val="4BF71D42"/>
    <w:rsid w:val="4BFB58A7"/>
    <w:rsid w:val="4C15074A"/>
    <w:rsid w:val="4C174AD0"/>
    <w:rsid w:val="4C296491"/>
    <w:rsid w:val="4C671D64"/>
    <w:rsid w:val="4C9B25EE"/>
    <w:rsid w:val="4D0304C1"/>
    <w:rsid w:val="4D6D6DED"/>
    <w:rsid w:val="4DD62C82"/>
    <w:rsid w:val="4DDD3F97"/>
    <w:rsid w:val="4DE43F2A"/>
    <w:rsid w:val="4E200DC4"/>
    <w:rsid w:val="4E3E36D0"/>
    <w:rsid w:val="4E40205E"/>
    <w:rsid w:val="4E54185A"/>
    <w:rsid w:val="4EAB011D"/>
    <w:rsid w:val="4EC3788B"/>
    <w:rsid w:val="4ED569B6"/>
    <w:rsid w:val="4EDA2B26"/>
    <w:rsid w:val="4EDE7811"/>
    <w:rsid w:val="4F0003A7"/>
    <w:rsid w:val="4F291F8B"/>
    <w:rsid w:val="4F446605"/>
    <w:rsid w:val="4F5F22CA"/>
    <w:rsid w:val="4F6A72AA"/>
    <w:rsid w:val="4FB63E97"/>
    <w:rsid w:val="4FEF6A5D"/>
    <w:rsid w:val="501C75BA"/>
    <w:rsid w:val="5024381B"/>
    <w:rsid w:val="50572E59"/>
    <w:rsid w:val="50660268"/>
    <w:rsid w:val="5068487D"/>
    <w:rsid w:val="5074313F"/>
    <w:rsid w:val="5096762B"/>
    <w:rsid w:val="510B6E9B"/>
    <w:rsid w:val="510F5A12"/>
    <w:rsid w:val="513840BB"/>
    <w:rsid w:val="51501320"/>
    <w:rsid w:val="516573C4"/>
    <w:rsid w:val="518554EB"/>
    <w:rsid w:val="518645F9"/>
    <w:rsid w:val="5191672D"/>
    <w:rsid w:val="51E95858"/>
    <w:rsid w:val="51F873D3"/>
    <w:rsid w:val="525672F1"/>
    <w:rsid w:val="52E021A4"/>
    <w:rsid w:val="53136BF4"/>
    <w:rsid w:val="531C3A86"/>
    <w:rsid w:val="532A6AEA"/>
    <w:rsid w:val="537B5E44"/>
    <w:rsid w:val="53B53663"/>
    <w:rsid w:val="54175962"/>
    <w:rsid w:val="54484019"/>
    <w:rsid w:val="54492FD9"/>
    <w:rsid w:val="54693176"/>
    <w:rsid w:val="548D4981"/>
    <w:rsid w:val="55CE03BB"/>
    <w:rsid w:val="55E27AC9"/>
    <w:rsid w:val="55F34B7D"/>
    <w:rsid w:val="56195882"/>
    <w:rsid w:val="5628343B"/>
    <w:rsid w:val="564318EB"/>
    <w:rsid w:val="564B6C64"/>
    <w:rsid w:val="569D45DE"/>
    <w:rsid w:val="56A0521F"/>
    <w:rsid w:val="57164701"/>
    <w:rsid w:val="571A7145"/>
    <w:rsid w:val="575271A6"/>
    <w:rsid w:val="57586DB5"/>
    <w:rsid w:val="577C2E03"/>
    <w:rsid w:val="57B7762B"/>
    <w:rsid w:val="57DC2223"/>
    <w:rsid w:val="57E71DC4"/>
    <w:rsid w:val="58633386"/>
    <w:rsid w:val="586947CC"/>
    <w:rsid w:val="58932AF1"/>
    <w:rsid w:val="5895594B"/>
    <w:rsid w:val="58C010B1"/>
    <w:rsid w:val="58C52D52"/>
    <w:rsid w:val="58E4506A"/>
    <w:rsid w:val="58E675A8"/>
    <w:rsid w:val="59437BD6"/>
    <w:rsid w:val="59494DBA"/>
    <w:rsid w:val="594F1700"/>
    <w:rsid w:val="59920134"/>
    <w:rsid w:val="59E87C8B"/>
    <w:rsid w:val="5A143BE9"/>
    <w:rsid w:val="5A7D7203"/>
    <w:rsid w:val="5A8E5E31"/>
    <w:rsid w:val="5ABF54A1"/>
    <w:rsid w:val="5AC30F2A"/>
    <w:rsid w:val="5AC3137C"/>
    <w:rsid w:val="5B350962"/>
    <w:rsid w:val="5B921CDE"/>
    <w:rsid w:val="5BBC163C"/>
    <w:rsid w:val="5BC061D1"/>
    <w:rsid w:val="5BDB724D"/>
    <w:rsid w:val="5BE552C1"/>
    <w:rsid w:val="5C4005D4"/>
    <w:rsid w:val="5C51186B"/>
    <w:rsid w:val="5C583BCF"/>
    <w:rsid w:val="5C5E206B"/>
    <w:rsid w:val="5C87649B"/>
    <w:rsid w:val="5C902ABF"/>
    <w:rsid w:val="5CBE3B55"/>
    <w:rsid w:val="5CC3250D"/>
    <w:rsid w:val="5D3F2CAC"/>
    <w:rsid w:val="5D4F720D"/>
    <w:rsid w:val="5D522DBF"/>
    <w:rsid w:val="5D5715FC"/>
    <w:rsid w:val="5D790147"/>
    <w:rsid w:val="5D7C2E81"/>
    <w:rsid w:val="5DDC4042"/>
    <w:rsid w:val="5E0679CE"/>
    <w:rsid w:val="5E78624D"/>
    <w:rsid w:val="5E9A2CD6"/>
    <w:rsid w:val="5E9E413A"/>
    <w:rsid w:val="5F1326EC"/>
    <w:rsid w:val="5F30355F"/>
    <w:rsid w:val="5F741A2E"/>
    <w:rsid w:val="5F9E7905"/>
    <w:rsid w:val="60072B6F"/>
    <w:rsid w:val="602B6F80"/>
    <w:rsid w:val="60482C3D"/>
    <w:rsid w:val="60516267"/>
    <w:rsid w:val="60903C09"/>
    <w:rsid w:val="60A524DD"/>
    <w:rsid w:val="60D82965"/>
    <w:rsid w:val="611A1E0F"/>
    <w:rsid w:val="611E0DFA"/>
    <w:rsid w:val="612C75E7"/>
    <w:rsid w:val="61491E5A"/>
    <w:rsid w:val="617539CD"/>
    <w:rsid w:val="61A9481A"/>
    <w:rsid w:val="624A5D02"/>
    <w:rsid w:val="626D7D84"/>
    <w:rsid w:val="62AB1957"/>
    <w:rsid w:val="62EF21D9"/>
    <w:rsid w:val="62FA72BD"/>
    <w:rsid w:val="631F3E93"/>
    <w:rsid w:val="63297C32"/>
    <w:rsid w:val="63490A67"/>
    <w:rsid w:val="635F5E95"/>
    <w:rsid w:val="63BD1591"/>
    <w:rsid w:val="63D13C16"/>
    <w:rsid w:val="63EA6D18"/>
    <w:rsid w:val="642D24EC"/>
    <w:rsid w:val="64317902"/>
    <w:rsid w:val="64487EF9"/>
    <w:rsid w:val="64E47F05"/>
    <w:rsid w:val="65245F72"/>
    <w:rsid w:val="65770337"/>
    <w:rsid w:val="65A1414D"/>
    <w:rsid w:val="65B223AD"/>
    <w:rsid w:val="65D85709"/>
    <w:rsid w:val="65DA6D20"/>
    <w:rsid w:val="66242186"/>
    <w:rsid w:val="66AD28CC"/>
    <w:rsid w:val="66BD1C18"/>
    <w:rsid w:val="67174488"/>
    <w:rsid w:val="67223A1E"/>
    <w:rsid w:val="674F077B"/>
    <w:rsid w:val="677C77DE"/>
    <w:rsid w:val="678F09AB"/>
    <w:rsid w:val="679B2B7F"/>
    <w:rsid w:val="67A920B6"/>
    <w:rsid w:val="67B65606"/>
    <w:rsid w:val="67C70DF7"/>
    <w:rsid w:val="67D01B7E"/>
    <w:rsid w:val="67E54F39"/>
    <w:rsid w:val="681B11CF"/>
    <w:rsid w:val="684800A0"/>
    <w:rsid w:val="68641FCC"/>
    <w:rsid w:val="689914B5"/>
    <w:rsid w:val="68B95BF4"/>
    <w:rsid w:val="694253FC"/>
    <w:rsid w:val="69917EBB"/>
    <w:rsid w:val="69946091"/>
    <w:rsid w:val="69FF1652"/>
    <w:rsid w:val="6A4871CC"/>
    <w:rsid w:val="6AA30219"/>
    <w:rsid w:val="6ABA6ABB"/>
    <w:rsid w:val="6ACE7F4E"/>
    <w:rsid w:val="6BA33BA5"/>
    <w:rsid w:val="6BB50B91"/>
    <w:rsid w:val="6BBB64C8"/>
    <w:rsid w:val="6BD633D9"/>
    <w:rsid w:val="6BF57F32"/>
    <w:rsid w:val="6C1E4E18"/>
    <w:rsid w:val="6C5E7001"/>
    <w:rsid w:val="6CAB46DB"/>
    <w:rsid w:val="6CB44142"/>
    <w:rsid w:val="6CEB269F"/>
    <w:rsid w:val="6D15336D"/>
    <w:rsid w:val="6D2B5803"/>
    <w:rsid w:val="6D3467AF"/>
    <w:rsid w:val="6D430993"/>
    <w:rsid w:val="6D4C3494"/>
    <w:rsid w:val="6D792C8C"/>
    <w:rsid w:val="6D811EEA"/>
    <w:rsid w:val="6DA129E3"/>
    <w:rsid w:val="6DAE0AE6"/>
    <w:rsid w:val="6DB83A1F"/>
    <w:rsid w:val="6DBC27AE"/>
    <w:rsid w:val="6E3307C5"/>
    <w:rsid w:val="6E3D073D"/>
    <w:rsid w:val="6E3F3D1C"/>
    <w:rsid w:val="6E400E95"/>
    <w:rsid w:val="6EA41D22"/>
    <w:rsid w:val="6EC91A15"/>
    <w:rsid w:val="6ED049A8"/>
    <w:rsid w:val="6F0566F5"/>
    <w:rsid w:val="6F1867AB"/>
    <w:rsid w:val="6F221AF3"/>
    <w:rsid w:val="6F691A84"/>
    <w:rsid w:val="6F6D65EF"/>
    <w:rsid w:val="6F8F4C9F"/>
    <w:rsid w:val="6F900F02"/>
    <w:rsid w:val="707E19D8"/>
    <w:rsid w:val="708C4A2F"/>
    <w:rsid w:val="70C21FED"/>
    <w:rsid w:val="70C42D08"/>
    <w:rsid w:val="71037892"/>
    <w:rsid w:val="710D2302"/>
    <w:rsid w:val="71380AA2"/>
    <w:rsid w:val="717814B1"/>
    <w:rsid w:val="720A7A48"/>
    <w:rsid w:val="72584AF2"/>
    <w:rsid w:val="72CB416C"/>
    <w:rsid w:val="72CF71AF"/>
    <w:rsid w:val="734161EF"/>
    <w:rsid w:val="73A64D3B"/>
    <w:rsid w:val="73C9716D"/>
    <w:rsid w:val="740B61BD"/>
    <w:rsid w:val="74357E09"/>
    <w:rsid w:val="7449409D"/>
    <w:rsid w:val="75140105"/>
    <w:rsid w:val="755127A5"/>
    <w:rsid w:val="755E0B65"/>
    <w:rsid w:val="7577532B"/>
    <w:rsid w:val="7591626A"/>
    <w:rsid w:val="759D7448"/>
    <w:rsid w:val="759D766E"/>
    <w:rsid w:val="75E7407E"/>
    <w:rsid w:val="7684580E"/>
    <w:rsid w:val="76B004A8"/>
    <w:rsid w:val="76C77819"/>
    <w:rsid w:val="77045EC7"/>
    <w:rsid w:val="772F5505"/>
    <w:rsid w:val="776509C2"/>
    <w:rsid w:val="776C17DC"/>
    <w:rsid w:val="77A5570E"/>
    <w:rsid w:val="7825488A"/>
    <w:rsid w:val="782B3D13"/>
    <w:rsid w:val="78342026"/>
    <w:rsid w:val="785302A6"/>
    <w:rsid w:val="7914705E"/>
    <w:rsid w:val="7952104A"/>
    <w:rsid w:val="795B5A50"/>
    <w:rsid w:val="795B6882"/>
    <w:rsid w:val="79615F76"/>
    <w:rsid w:val="797A4249"/>
    <w:rsid w:val="797E0270"/>
    <w:rsid w:val="799F3FA2"/>
    <w:rsid w:val="79BB29C7"/>
    <w:rsid w:val="79CA7ED3"/>
    <w:rsid w:val="7A6B1935"/>
    <w:rsid w:val="7A921257"/>
    <w:rsid w:val="7AA17DB8"/>
    <w:rsid w:val="7AD27FF1"/>
    <w:rsid w:val="7AFA3ABE"/>
    <w:rsid w:val="7B753CB4"/>
    <w:rsid w:val="7BDF5E8C"/>
    <w:rsid w:val="7BEA6B2B"/>
    <w:rsid w:val="7BF8421B"/>
    <w:rsid w:val="7C192008"/>
    <w:rsid w:val="7C627C69"/>
    <w:rsid w:val="7C6412F3"/>
    <w:rsid w:val="7CE302D4"/>
    <w:rsid w:val="7CF314F8"/>
    <w:rsid w:val="7D1413E4"/>
    <w:rsid w:val="7D235297"/>
    <w:rsid w:val="7D2B234D"/>
    <w:rsid w:val="7D302CD4"/>
    <w:rsid w:val="7D452CA0"/>
    <w:rsid w:val="7D4E43EA"/>
    <w:rsid w:val="7D9F5E78"/>
    <w:rsid w:val="7DF07E9E"/>
    <w:rsid w:val="7E77046D"/>
    <w:rsid w:val="7E971BEE"/>
    <w:rsid w:val="7ECC7175"/>
    <w:rsid w:val="7EF22F25"/>
    <w:rsid w:val="7F5E52DF"/>
    <w:rsid w:val="7F606949"/>
    <w:rsid w:val="7FA36EFF"/>
    <w:rsid w:val="7FF8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jc w:val="left"/>
    </w:pPr>
    <w:rPr>
      <w:kern w:val="0"/>
      <w:sz w:val="24"/>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2019-06-26T08:26:00Z</dcterms:created>
  <dc:creator>Administrator</dc:creator>
  <cp:lastModifiedBy>Administrator</cp:lastModifiedBy>
  <cp:lastPrinted>2019-11-22T00:38:00Z</cp:lastPrinted>
  <dcterms:modified xsi:type="dcterms:W3CDTF">2019-11-28T06:26:54Z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