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bidi w:val="0"/>
        <w:spacing w:line="5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bidi w:val="0"/>
        <w:spacing w:line="560" w:lineRule="exact"/>
        <w:jc w:val="center"/>
        <w:rPr>
          <w:rFonts w:ascii="仿宋_GB2312" w:eastAsia="仿宋_GB2312"/>
          <w:sz w:val="32"/>
          <w:szCs w:val="32"/>
        </w:rPr>
      </w:pPr>
      <w:r>
        <w:rPr>
          <w:rFonts w:hint="eastAsia" w:ascii="仿宋_GB2312" w:eastAsia="仿宋_GB2312"/>
          <w:sz w:val="32"/>
          <w:szCs w:val="32"/>
          <w:lang w:eastAsia="zh-CN"/>
        </w:rPr>
        <w:t>望</w:t>
      </w:r>
      <w:r>
        <w:rPr>
          <w:rFonts w:hint="eastAsia" w:ascii="仿宋_GB2312" w:eastAsia="仿宋_GB2312"/>
          <w:sz w:val="32"/>
          <w:szCs w:val="32"/>
          <w:lang w:val="en-US" w:eastAsia="zh-CN"/>
        </w:rPr>
        <w:t>市</w:t>
      </w:r>
      <w:r>
        <w:rPr>
          <w:rFonts w:hint="eastAsia" w:ascii="仿宋_GB2312" w:eastAsia="仿宋_GB2312"/>
          <w:sz w:val="32"/>
          <w:szCs w:val="32"/>
        </w:rPr>
        <w:t>监发〔</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19</w:t>
      </w:r>
      <w:r>
        <w:rPr>
          <w:rFonts w:hint="eastAsia" w:ascii="仿宋_GB2312" w:eastAsia="仿宋_GB2312"/>
          <w:sz w:val="32"/>
          <w:szCs w:val="32"/>
        </w:rPr>
        <w:t>号</w:t>
      </w:r>
    </w:p>
    <w:p>
      <w:pPr>
        <w:keepNext w:val="0"/>
        <w:keepLines w:val="0"/>
        <w:pageBreakBefore w:val="0"/>
        <w:widowControl w:val="0"/>
        <w:kinsoku/>
        <w:wordWrap/>
        <w:overflowPunct/>
        <w:topLinePunct w:val="0"/>
        <w:bidi w:val="0"/>
        <w:spacing w:line="560" w:lineRule="exact"/>
        <w:ind w:left="0" w:leftChars="0" w:firstLine="0" w:firstLineChars="0"/>
        <w:jc w:val="both"/>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b w:val="0"/>
          <w:bCs/>
          <w:sz w:val="44"/>
          <w:szCs w:val="44"/>
          <w:lang w:eastAsia="zh-CN"/>
        </w:rPr>
      </w:pPr>
      <w:bookmarkStart w:id="0" w:name="_GoBack"/>
      <w:r>
        <w:rPr>
          <w:rFonts w:hint="eastAsia" w:ascii="方正小标宋简体" w:hAnsi="方正小标宋简体" w:eastAsia="方正小标宋简体" w:cs="方正小标宋简体"/>
          <w:b w:val="0"/>
          <w:bCs/>
          <w:sz w:val="44"/>
          <w:szCs w:val="44"/>
        </w:rPr>
        <w:t>望奎县</w:t>
      </w:r>
      <w:r>
        <w:rPr>
          <w:rFonts w:hint="eastAsia" w:ascii="方正小标宋简体" w:hAnsi="方正小标宋简体" w:eastAsia="方正小标宋简体" w:cs="方正小标宋简体"/>
          <w:b w:val="0"/>
          <w:bCs/>
          <w:sz w:val="44"/>
          <w:szCs w:val="44"/>
          <w:lang w:eastAsia="zh-CN"/>
        </w:rPr>
        <w:t>市场监督</w:t>
      </w:r>
      <w:r>
        <w:rPr>
          <w:rFonts w:hint="eastAsia" w:ascii="方正小标宋简体" w:hAnsi="方正小标宋简体" w:eastAsia="方正小标宋简体" w:cs="方正小标宋简体"/>
          <w:b w:val="0"/>
          <w:bCs/>
          <w:sz w:val="44"/>
          <w:szCs w:val="44"/>
        </w:rPr>
        <w:t>局</w:t>
      </w:r>
      <w:r>
        <w:rPr>
          <w:rFonts w:hint="eastAsia" w:ascii="方正小标宋简体" w:hAnsi="方正小标宋简体" w:eastAsia="方正小标宋简体" w:cs="方正小标宋简体"/>
          <w:b w:val="0"/>
          <w:bCs/>
          <w:sz w:val="44"/>
          <w:szCs w:val="44"/>
          <w:lang w:eastAsia="zh-CN"/>
        </w:rPr>
        <w:t>关于</w:t>
      </w:r>
      <w:r>
        <w:rPr>
          <w:rFonts w:hint="eastAsia" w:ascii="方正小标宋简体" w:hAnsi="方正小标宋简体" w:eastAsia="方正小标宋简体" w:cs="方正小标宋简体"/>
          <w:b w:val="0"/>
          <w:bCs/>
          <w:sz w:val="44"/>
          <w:szCs w:val="44"/>
          <w:lang w:val="en-US" w:eastAsia="zh-CN"/>
        </w:rPr>
        <w:t>印</w:t>
      </w:r>
      <w:r>
        <w:rPr>
          <w:rFonts w:hint="eastAsia" w:ascii="方正小标宋简体" w:hAnsi="方正小标宋简体" w:eastAsia="方正小标宋简体" w:cs="方正小标宋简体"/>
          <w:b w:val="0"/>
          <w:bCs/>
          <w:sz w:val="44"/>
          <w:szCs w:val="44"/>
          <w:lang w:eastAsia="zh-CN"/>
        </w:rPr>
        <w:t>发</w:t>
      </w:r>
    </w:p>
    <w:p>
      <w:pPr>
        <w:keepNext w:val="0"/>
        <w:keepLines w:val="0"/>
        <w:pageBreakBefore w:val="0"/>
        <w:widowControl w:val="0"/>
        <w:kinsoku/>
        <w:wordWrap/>
        <w:overflowPunct/>
        <w:topLinePunct w:val="0"/>
        <w:bidi w:val="0"/>
        <w:spacing w:line="560" w:lineRule="exact"/>
        <w:jc w:val="center"/>
        <w:rPr>
          <w:rFonts w:hint="eastAsia" w:ascii="宋体" w:hAnsi="宋体"/>
          <w:b/>
          <w:sz w:val="10"/>
          <w:szCs w:val="10"/>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2022年</w:t>
      </w:r>
      <w:r>
        <w:rPr>
          <w:rFonts w:hint="eastAsia" w:ascii="方正小标宋简体" w:hAnsi="方正小标宋简体" w:eastAsia="方正小标宋简体" w:cs="方正小标宋简体"/>
          <w:b w:val="0"/>
          <w:bCs/>
          <w:sz w:val="44"/>
          <w:szCs w:val="44"/>
          <w:lang w:eastAsia="zh-CN"/>
        </w:rPr>
        <w:t>食品</w:t>
      </w:r>
      <w:r>
        <w:rPr>
          <w:rFonts w:hint="eastAsia" w:ascii="方正小标宋简体" w:hAnsi="方正小标宋简体" w:eastAsia="方正小标宋简体" w:cs="方正小标宋简体"/>
          <w:b w:val="0"/>
          <w:bCs/>
          <w:sz w:val="44"/>
          <w:szCs w:val="44"/>
        </w:rPr>
        <w:t>监督抽验工作</w:t>
      </w:r>
      <w:r>
        <w:rPr>
          <w:rFonts w:hint="eastAsia" w:ascii="方正小标宋简体" w:hAnsi="方正小标宋简体" w:eastAsia="方正小标宋简体" w:cs="方正小标宋简体"/>
          <w:b w:val="0"/>
          <w:bCs/>
          <w:sz w:val="44"/>
          <w:szCs w:val="44"/>
          <w:lang w:val="en-US" w:eastAsia="zh-CN"/>
        </w:rPr>
        <w:t>计划</w:t>
      </w:r>
      <w:r>
        <w:rPr>
          <w:rFonts w:hint="eastAsia" w:ascii="方正小标宋简体" w:hAnsi="方正小标宋简体" w:eastAsia="方正小标宋简体" w:cs="方正小标宋简体"/>
          <w:b w:val="0"/>
          <w:bCs/>
          <w:sz w:val="44"/>
          <w:szCs w:val="44"/>
          <w:lang w:eastAsia="zh-CN"/>
        </w:rPr>
        <w:t>》的通知</w:t>
      </w:r>
    </w:p>
    <w:bookmarkEnd w:id="0"/>
    <w:p>
      <w:pPr>
        <w:keepNext w:val="0"/>
        <w:keepLines w:val="0"/>
        <w:pageBreakBefore w:val="0"/>
        <w:widowControl w:val="0"/>
        <w:kinsoku/>
        <w:wordWrap/>
        <w:overflowPunct/>
        <w:topLinePunct w:val="0"/>
        <w:bidi w:val="0"/>
        <w:spacing w:line="560" w:lineRule="exact"/>
        <w:jc w:val="center"/>
        <w:rPr>
          <w:rFonts w:hint="eastAsia" w:ascii="宋体" w:hAnsi="宋体"/>
          <w:b/>
          <w:sz w:val="10"/>
          <w:szCs w:val="10"/>
        </w:rPr>
      </w:pPr>
    </w:p>
    <w:p>
      <w:pPr>
        <w:keepNext w:val="0"/>
        <w:keepLines w:val="0"/>
        <w:pageBreakBefore w:val="0"/>
        <w:widowControl w:val="0"/>
        <w:kinsoku/>
        <w:wordWrap/>
        <w:overflowPunct/>
        <w:topLinePunct w:val="0"/>
        <w:bidi w:val="0"/>
        <w:spacing w:line="560" w:lineRule="exact"/>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检测中心：  </w:t>
      </w:r>
    </w:p>
    <w:p>
      <w:pPr>
        <w:keepNext w:val="0"/>
        <w:keepLines w:val="0"/>
        <w:pageBreakBefore w:val="0"/>
        <w:widowControl w:val="0"/>
        <w:kinsoku/>
        <w:wordWrap/>
        <w:overflowPunct/>
        <w:topLinePunct w:val="0"/>
        <w:bidi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现将局《</w:t>
      </w:r>
      <w:r>
        <w:rPr>
          <w:rFonts w:hint="eastAsia" w:ascii="仿宋_GB2312" w:eastAsia="仿宋_GB2312"/>
          <w:sz w:val="32"/>
          <w:szCs w:val="32"/>
          <w:lang w:val="en-US" w:eastAsia="zh-CN"/>
        </w:rPr>
        <w:t>2022</w:t>
      </w:r>
      <w:r>
        <w:rPr>
          <w:rFonts w:hint="eastAsia" w:ascii="仿宋_GB2312" w:eastAsia="仿宋_GB2312"/>
          <w:sz w:val="32"/>
          <w:szCs w:val="32"/>
          <w:lang w:eastAsia="zh-CN"/>
        </w:rPr>
        <w:t>年食品</w:t>
      </w:r>
      <w:r>
        <w:rPr>
          <w:rFonts w:hint="eastAsia" w:ascii="仿宋_GB2312" w:eastAsia="仿宋_GB2312"/>
          <w:sz w:val="32"/>
          <w:szCs w:val="32"/>
        </w:rPr>
        <w:t>监督检验</w:t>
      </w:r>
      <w:r>
        <w:rPr>
          <w:rFonts w:hint="eastAsia" w:ascii="仿宋_GB2312" w:eastAsia="仿宋_GB2312"/>
          <w:sz w:val="32"/>
          <w:szCs w:val="32"/>
          <w:lang w:eastAsia="zh-CN"/>
        </w:rPr>
        <w:t>工作</w:t>
      </w:r>
      <w:r>
        <w:rPr>
          <w:rFonts w:hint="eastAsia" w:ascii="仿宋_GB2312" w:eastAsia="仿宋_GB2312"/>
          <w:sz w:val="32"/>
          <w:szCs w:val="32"/>
          <w:lang w:val="en-US" w:eastAsia="zh-CN"/>
        </w:rPr>
        <w:t>计划</w:t>
      </w:r>
      <w:r>
        <w:rPr>
          <w:rFonts w:hint="eastAsia" w:ascii="仿宋_GB2312" w:eastAsia="仿宋_GB2312"/>
          <w:sz w:val="32"/>
          <w:szCs w:val="32"/>
          <w:lang w:eastAsia="zh-CN"/>
        </w:rPr>
        <w:t>》印发给你们，望</w:t>
      </w:r>
      <w:r>
        <w:rPr>
          <w:rFonts w:hint="eastAsia" w:ascii="仿宋_GB2312" w:eastAsia="仿宋_GB2312"/>
          <w:sz w:val="32"/>
          <w:szCs w:val="32"/>
          <w:lang w:val="en-US" w:eastAsia="zh-CN"/>
        </w:rPr>
        <w:t>遵照</w:t>
      </w:r>
      <w:r>
        <w:rPr>
          <w:rFonts w:hint="eastAsia" w:ascii="仿宋_GB2312" w:eastAsia="仿宋_GB2312"/>
          <w:sz w:val="32"/>
          <w:szCs w:val="32"/>
          <w:lang w:eastAsia="zh-CN"/>
        </w:rPr>
        <w:t>执行。</w:t>
      </w:r>
    </w:p>
    <w:p>
      <w:pPr>
        <w:keepNext w:val="0"/>
        <w:keepLines w:val="0"/>
        <w:pageBreakBefore w:val="0"/>
        <w:widowControl w:val="0"/>
        <w:kinsoku/>
        <w:wordWrap/>
        <w:overflowPunct/>
        <w:topLinePunct w:val="0"/>
        <w:bidi w:val="0"/>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附件：1.2022</w:t>
      </w:r>
      <w:r>
        <w:rPr>
          <w:rFonts w:hint="eastAsia" w:ascii="楷体" w:hAnsi="楷体" w:eastAsia="楷体" w:cs="楷体"/>
          <w:sz w:val="32"/>
          <w:szCs w:val="32"/>
          <w:lang w:eastAsia="zh-CN"/>
        </w:rPr>
        <w:t>年食品</w:t>
      </w:r>
      <w:r>
        <w:rPr>
          <w:rFonts w:hint="eastAsia" w:ascii="楷体" w:hAnsi="楷体" w:eastAsia="楷体" w:cs="楷体"/>
          <w:sz w:val="32"/>
          <w:szCs w:val="32"/>
        </w:rPr>
        <w:t>监督检验</w:t>
      </w:r>
      <w:r>
        <w:rPr>
          <w:rFonts w:hint="eastAsia" w:ascii="楷体" w:hAnsi="楷体" w:eastAsia="楷体" w:cs="楷体"/>
          <w:sz w:val="32"/>
          <w:szCs w:val="32"/>
          <w:lang w:eastAsia="zh-CN"/>
        </w:rPr>
        <w:t>工作</w:t>
      </w:r>
      <w:r>
        <w:rPr>
          <w:rFonts w:hint="eastAsia" w:ascii="楷体" w:hAnsi="楷体" w:eastAsia="楷体" w:cs="楷体"/>
          <w:sz w:val="32"/>
          <w:szCs w:val="32"/>
          <w:lang w:val="en-US" w:eastAsia="zh-CN"/>
        </w:rPr>
        <w:t>计划</w:t>
      </w:r>
    </w:p>
    <w:p>
      <w:pPr>
        <w:keepNext w:val="0"/>
        <w:keepLines w:val="0"/>
        <w:pageBreakBefore w:val="0"/>
        <w:widowControl w:val="0"/>
        <w:kinsoku/>
        <w:wordWrap/>
        <w:overflowPunct/>
        <w:topLinePunct w:val="0"/>
        <w:bidi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sz w:val="32"/>
          <w:szCs w:val="32"/>
          <w:lang w:val="en-US" w:eastAsia="zh-CN"/>
        </w:rPr>
        <w:t xml:space="preserve">      2.</w:t>
      </w:r>
      <w:r>
        <w:rPr>
          <w:rFonts w:hint="eastAsia" w:ascii="楷体" w:hAnsi="楷体" w:eastAsia="楷体" w:cs="楷体"/>
          <w:b w:val="0"/>
          <w:bCs w:val="0"/>
          <w:sz w:val="32"/>
          <w:szCs w:val="32"/>
          <w:lang w:eastAsia="zh-CN"/>
        </w:rPr>
        <w:t>202</w:t>
      </w:r>
      <w:r>
        <w:rPr>
          <w:rFonts w:hint="eastAsia" w:ascii="楷体" w:hAnsi="楷体" w:eastAsia="楷体" w:cs="楷体"/>
          <w:b w:val="0"/>
          <w:bCs w:val="0"/>
          <w:sz w:val="32"/>
          <w:szCs w:val="32"/>
          <w:lang w:val="en-US" w:eastAsia="zh-CN"/>
        </w:rPr>
        <w:t>2</w:t>
      </w:r>
      <w:r>
        <w:rPr>
          <w:rFonts w:hint="eastAsia" w:ascii="楷体" w:hAnsi="楷体" w:eastAsia="楷体" w:cs="楷体"/>
          <w:b w:val="0"/>
          <w:bCs w:val="0"/>
          <w:sz w:val="32"/>
          <w:szCs w:val="32"/>
        </w:rPr>
        <w:t>年望奎</w:t>
      </w:r>
      <w:r>
        <w:rPr>
          <w:rFonts w:hint="eastAsia" w:ascii="楷体" w:hAnsi="楷体" w:eastAsia="楷体" w:cs="楷体"/>
          <w:b w:val="0"/>
          <w:bCs w:val="0"/>
          <w:sz w:val="32"/>
          <w:szCs w:val="32"/>
          <w:lang w:val="en-US" w:eastAsia="zh-CN"/>
        </w:rPr>
        <w:t>县</w:t>
      </w:r>
      <w:r>
        <w:rPr>
          <w:rFonts w:hint="eastAsia" w:ascii="楷体" w:hAnsi="楷体" w:eastAsia="楷体" w:cs="楷体"/>
          <w:b w:val="0"/>
          <w:bCs w:val="0"/>
          <w:sz w:val="32"/>
          <w:szCs w:val="32"/>
          <w:lang w:eastAsia="zh-CN"/>
        </w:rPr>
        <w:t>食品</w:t>
      </w:r>
      <w:r>
        <w:rPr>
          <w:rFonts w:hint="eastAsia" w:ascii="楷体" w:hAnsi="楷体" w:eastAsia="楷体" w:cs="楷体"/>
          <w:b w:val="0"/>
          <w:bCs w:val="0"/>
          <w:sz w:val="32"/>
          <w:szCs w:val="32"/>
        </w:rPr>
        <w:t>抽检任务计划表</w:t>
      </w:r>
    </w:p>
    <w:p>
      <w:pPr>
        <w:keepNext w:val="0"/>
        <w:keepLines w:val="0"/>
        <w:pageBreakBefore w:val="0"/>
        <w:widowControl w:val="0"/>
        <w:kinsoku/>
        <w:wordWrap/>
        <w:overflowPunct/>
        <w:topLinePunct w:val="0"/>
        <w:bidi w:val="0"/>
        <w:spacing w:line="560" w:lineRule="exact"/>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3.2022年望奎县食品农产品抽检任务计划表</w:t>
      </w:r>
    </w:p>
    <w:p>
      <w:pPr>
        <w:keepNext w:val="0"/>
        <w:keepLines w:val="0"/>
        <w:pageBreakBefore w:val="0"/>
        <w:widowControl w:val="0"/>
        <w:kinsoku/>
        <w:wordWrap/>
        <w:overflowPunct/>
        <w:topLinePunct w:val="0"/>
        <w:bidi w:val="0"/>
        <w:spacing w:line="560" w:lineRule="exact"/>
        <w:ind w:firstLine="640" w:firstLineChars="200"/>
        <w:rPr>
          <w:rFonts w:hint="default" w:ascii="楷体" w:hAnsi="楷体" w:eastAsia="楷体" w:cs="楷体"/>
          <w:b w:val="0"/>
          <w:bCs w:val="0"/>
          <w:sz w:val="32"/>
          <w:szCs w:val="32"/>
          <w:lang w:val="en-US" w:eastAsia="zh-CN"/>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eastAsia="仿宋_GB2312"/>
          <w:sz w:val="32"/>
          <w:szCs w:val="32"/>
          <w:lang w:val="en-US" w:eastAsia="zh-CN"/>
        </w:rPr>
      </w:pPr>
    </w:p>
    <w:p>
      <w:pPr>
        <w:keepNext w:val="0"/>
        <w:keepLines w:val="0"/>
        <w:pageBreakBefore w:val="0"/>
        <w:widowControl w:val="0"/>
        <w:kinsoku/>
        <w:wordWrap/>
        <w:overflowPunct/>
        <w:topLinePunct w:val="0"/>
        <w:bidi w:val="0"/>
        <w:spacing w:line="560" w:lineRule="exact"/>
        <w:ind w:firstLine="3840" w:firstLineChars="1200"/>
        <w:rPr>
          <w:rFonts w:hint="eastAsia" w:ascii="仿宋_GB2312" w:hAnsi="宋体" w:eastAsia="仿宋_GB2312"/>
          <w:sz w:val="32"/>
          <w:szCs w:val="32"/>
        </w:rPr>
      </w:pPr>
      <w:r>
        <w:rPr>
          <w:rFonts w:hint="eastAsia" w:ascii="仿宋_GB2312" w:hAnsi="宋体" w:eastAsia="仿宋_GB2312"/>
          <w:sz w:val="32"/>
          <w:szCs w:val="32"/>
        </w:rPr>
        <w:t>望奎县</w:t>
      </w:r>
      <w:r>
        <w:rPr>
          <w:rFonts w:hint="eastAsia" w:ascii="仿宋_GB2312" w:hAnsi="宋体" w:eastAsia="仿宋_GB2312"/>
          <w:sz w:val="32"/>
          <w:szCs w:val="32"/>
          <w:lang w:eastAsia="zh-CN"/>
        </w:rPr>
        <w:t>市场监督管理</w:t>
      </w:r>
      <w:r>
        <w:rPr>
          <w:rFonts w:hint="eastAsia" w:ascii="仿宋_GB2312" w:hAnsi="宋体" w:eastAsia="仿宋_GB2312"/>
          <w:sz w:val="32"/>
          <w:szCs w:val="32"/>
        </w:rPr>
        <w:t>局</w:t>
      </w:r>
    </w:p>
    <w:p>
      <w:pPr>
        <w:keepNext w:val="0"/>
        <w:keepLines w:val="0"/>
        <w:pageBreakBefore w:val="0"/>
        <w:widowControl w:val="0"/>
        <w:kinsoku/>
        <w:wordWrap/>
        <w:overflowPunct/>
        <w:topLinePunct w:val="0"/>
        <w:bidi w:val="0"/>
        <w:spacing w:line="560" w:lineRule="exact"/>
        <w:ind w:firstLine="1904" w:firstLineChars="595"/>
        <w:rPr>
          <w:rFonts w:hint="eastAsia" w:ascii="仿宋_GB2312" w:hAnsi="宋体" w:eastAsia="仿宋_GB2312"/>
          <w:sz w:val="32"/>
          <w:szCs w:val="32"/>
          <w:lang w:val="en-US" w:eastAsia="zh-CN"/>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2022年2月24日</w:t>
      </w:r>
    </w:p>
    <w:p>
      <w:pPr>
        <w:keepNext w:val="0"/>
        <w:keepLines w:val="0"/>
        <w:pageBreakBefore w:val="0"/>
        <w:widowControl w:val="0"/>
        <w:kinsoku/>
        <w:wordWrap/>
        <w:overflowPunct/>
        <w:topLinePunct w:val="0"/>
        <w:bidi w:val="0"/>
        <w:spacing w:line="560" w:lineRule="exact"/>
        <w:ind w:left="0" w:leftChars="0" w:firstLine="0" w:firstLineChars="0"/>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rPr>
          <w:rFonts w:hint="eastAsia" w:ascii="宋体" w:hAnsi="宋体"/>
          <w:b/>
          <w:sz w:val="44"/>
          <w:szCs w:val="44"/>
        </w:rPr>
      </w:pPr>
      <w:r>
        <w:rPr>
          <w:rFonts w:hint="eastAsia" w:ascii="仿宋_GB2312" w:hAnsi="宋体" w:eastAsia="仿宋_GB2312"/>
          <w:sz w:val="32"/>
          <w:szCs w:val="32"/>
          <w:lang w:val="en-US" w:eastAsia="zh-CN"/>
        </w:rPr>
        <w:t>附件1</w:t>
      </w:r>
    </w:p>
    <w:p>
      <w:pPr>
        <w:keepNext w:val="0"/>
        <w:keepLines w:val="0"/>
        <w:pageBreakBefore w:val="0"/>
        <w:widowControl w:val="0"/>
        <w:kinsoku/>
        <w:wordWrap/>
        <w:overflowPunct/>
        <w:topLinePunct w:val="0"/>
        <w:bidi w:val="0"/>
        <w:spacing w:line="56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年食品</w:t>
      </w:r>
      <w:r>
        <w:rPr>
          <w:rFonts w:hint="eastAsia" w:ascii="方正小标宋简体" w:hAnsi="方正小标宋简体" w:eastAsia="方正小标宋简体" w:cs="方正小标宋简体"/>
          <w:sz w:val="44"/>
          <w:szCs w:val="44"/>
        </w:rPr>
        <w:t>监督检验</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lang w:val="en-US" w:eastAsia="zh-CN"/>
        </w:rPr>
        <w:t>计划</w:t>
      </w:r>
    </w:p>
    <w:p>
      <w:pPr>
        <w:keepNext w:val="0"/>
        <w:keepLines w:val="0"/>
        <w:pageBreakBefore w:val="0"/>
        <w:widowControl w:val="0"/>
        <w:kinsoku/>
        <w:wordWrap/>
        <w:overflowPunct/>
        <w:topLinePunct w:val="0"/>
        <w:bidi w:val="0"/>
        <w:spacing w:line="560" w:lineRule="exact"/>
        <w:ind w:left="0" w:leftChars="0" w:firstLine="0" w:firstLineChars="0"/>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val="en-US" w:eastAsia="zh-CN"/>
        </w:rPr>
        <w:t>强化全县</w:t>
      </w:r>
      <w:r>
        <w:rPr>
          <w:rFonts w:hint="eastAsia" w:ascii="仿宋_GB2312" w:eastAsia="仿宋_GB2312"/>
          <w:sz w:val="32"/>
          <w:szCs w:val="32"/>
          <w:lang w:eastAsia="zh-CN"/>
        </w:rPr>
        <w:t>食品</w:t>
      </w:r>
      <w:r>
        <w:rPr>
          <w:rFonts w:hint="eastAsia" w:ascii="仿宋_GB2312" w:eastAsia="仿宋_GB2312"/>
          <w:sz w:val="32"/>
          <w:szCs w:val="32"/>
        </w:rPr>
        <w:t>安全监管，提升</w:t>
      </w:r>
      <w:r>
        <w:rPr>
          <w:rFonts w:hint="eastAsia" w:ascii="仿宋_GB2312" w:eastAsia="仿宋_GB2312"/>
          <w:sz w:val="32"/>
          <w:szCs w:val="32"/>
          <w:lang w:eastAsia="zh-CN"/>
        </w:rPr>
        <w:t>食品</w:t>
      </w:r>
      <w:r>
        <w:rPr>
          <w:rFonts w:hint="eastAsia" w:ascii="仿宋_GB2312" w:eastAsia="仿宋_GB2312"/>
          <w:sz w:val="32"/>
          <w:szCs w:val="32"/>
        </w:rPr>
        <w:t>监管水平，更好地保障全县广大人民群众农产品的食用安全，按照</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黑龙江省市场监督管理局关于做好2022年全省食品安全抽检监测工作的通知</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黑市监〔2022〕28号</w:t>
      </w:r>
      <w:r>
        <w:rPr>
          <w:rFonts w:hint="eastAsia" w:ascii="仿宋_GB2312" w:hAnsi="仿宋_GB2312" w:eastAsia="仿宋_GB2312" w:cs="仿宋_GB2312"/>
          <w:color w:val="auto"/>
          <w:sz w:val="32"/>
          <w:szCs w:val="32"/>
          <w:lang w:val="en-US" w:eastAsia="zh-CN"/>
        </w:rPr>
        <w:t>）、《2022年绥化市食品安全监督抽检计划》</w:t>
      </w:r>
      <w:r>
        <w:rPr>
          <w:rFonts w:hint="eastAsia" w:ascii="仿宋_GB2312" w:eastAsia="仿宋_GB2312"/>
          <w:sz w:val="32"/>
          <w:szCs w:val="32"/>
        </w:rPr>
        <w:t>要求</w:t>
      </w:r>
      <w:r>
        <w:rPr>
          <w:rFonts w:hint="eastAsia" w:ascii="仿宋_GB2312" w:eastAsia="仿宋_GB2312"/>
          <w:sz w:val="32"/>
          <w:szCs w:val="32"/>
          <w:lang w:val="en-US" w:eastAsia="zh-CN"/>
        </w:rPr>
        <w:t>，</w:t>
      </w:r>
      <w:r>
        <w:rPr>
          <w:rFonts w:hint="eastAsia" w:ascii="仿宋_GB2312" w:eastAsia="仿宋_GB2312"/>
          <w:sz w:val="32"/>
          <w:szCs w:val="32"/>
        </w:rPr>
        <w:t>结合我县实际</w:t>
      </w:r>
      <w:r>
        <w:rPr>
          <w:rFonts w:hint="eastAsia" w:ascii="仿宋_GB2312" w:eastAsia="仿宋_GB2312"/>
          <w:sz w:val="32"/>
          <w:szCs w:val="32"/>
          <w:lang w:val="en-US" w:eastAsia="zh-CN"/>
        </w:rPr>
        <w:t>情况</w:t>
      </w:r>
      <w:r>
        <w:rPr>
          <w:rFonts w:hint="eastAsia" w:ascii="仿宋_GB2312" w:eastAsia="仿宋_GB2312"/>
          <w:sz w:val="32"/>
          <w:szCs w:val="32"/>
        </w:rPr>
        <w:t>制定此工作计划。</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textAlignment w:val="baseline"/>
        <w:rPr>
          <w:rFonts w:hint="eastAsia" w:ascii="黑体" w:hAnsi="黑体" w:eastAsia="黑体" w:cs="黑体"/>
          <w:bCs/>
          <w:color w:val="auto"/>
          <w:sz w:val="32"/>
          <w:szCs w:val="32"/>
          <w:lang w:val="zh-CN"/>
        </w:rPr>
      </w:pPr>
      <w:r>
        <w:rPr>
          <w:rFonts w:hint="eastAsia" w:ascii="仿宋_GB2312" w:hAnsi="仿宋_GB2312" w:eastAsia="仿宋_GB2312" w:cs="仿宋_GB2312"/>
          <w:bCs/>
          <w:color w:val="auto"/>
          <w:sz w:val="32"/>
          <w:szCs w:val="32"/>
        </w:rPr>
        <w:t xml:space="preserve"> </w:t>
      </w:r>
      <w:r>
        <w:rPr>
          <w:rFonts w:hint="eastAsia" w:ascii="黑体" w:hAnsi="黑体" w:eastAsia="黑体" w:cs="黑体"/>
          <w:bCs/>
          <w:color w:val="auto"/>
          <w:sz w:val="32"/>
          <w:szCs w:val="32"/>
          <w:lang w:val="zh-CN"/>
        </w:rPr>
        <w:t>一、工作原则</w:t>
      </w:r>
    </w:p>
    <w:p>
      <w:pPr>
        <w:pStyle w:val="8"/>
        <w:keepNext w:val="0"/>
        <w:keepLines w:val="0"/>
        <w:pageBreakBefore w:val="0"/>
        <w:widowControl w:val="0"/>
        <w:kinsoku/>
        <w:wordWrap/>
        <w:overflowPunct/>
        <w:topLinePunct w:val="0"/>
        <w:bidi w:val="0"/>
        <w:adjustRightInd w:val="0"/>
        <w:snapToGrid w:val="0"/>
        <w:spacing w:line="560" w:lineRule="exact"/>
        <w:ind w:left="0" w:leftChars="0"/>
        <w:textAlignment w:val="baseline"/>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w:t>
      </w:r>
      <w:r>
        <w:rPr>
          <w:rFonts w:hint="eastAsia" w:ascii="楷体" w:hAnsi="楷体" w:eastAsia="楷体" w:cs="楷体"/>
          <w:color w:val="auto"/>
          <w:sz w:val="32"/>
          <w:szCs w:val="32"/>
          <w:lang w:eastAsia="zh-CN"/>
        </w:rPr>
        <w:t>为保障全县人民身体健康，预防食品安全风险，</w:t>
      </w:r>
      <w:r>
        <w:rPr>
          <w:rFonts w:hint="eastAsia" w:ascii="楷体" w:hAnsi="楷体" w:eastAsia="楷体" w:cs="楷体"/>
          <w:color w:val="auto"/>
          <w:sz w:val="32"/>
          <w:szCs w:val="32"/>
        </w:rPr>
        <w:t>坚持问题导向。</w:t>
      </w:r>
      <w:r>
        <w:rPr>
          <w:rFonts w:hint="eastAsia" w:ascii="仿宋_GB2312" w:hAnsi="仿宋_GB2312" w:eastAsia="仿宋_GB2312" w:cs="仿宋_GB2312"/>
          <w:color w:val="auto"/>
          <w:sz w:val="32"/>
          <w:szCs w:val="32"/>
        </w:rPr>
        <w:t>以发现问题、防控风险为基本原则，突出农兽药残留、重金属、生物毒素污染等重点指标，紧盯风险程度高、合格率较低以及消费量大的重点品种，要坚持问题导向的原则。聚焦群众关切，突出农兽药残留、重金属、生物毒素等重点指标，紧盯风险程度高、合格率较低以及消费量大的重点品种，瞄准大型批发市场、农贸市场、城乡结合部等重点区域，增强抽检靶向性，提高问题发现率。</w:t>
      </w:r>
    </w:p>
    <w:p>
      <w:pPr>
        <w:pStyle w:val="8"/>
        <w:keepNext w:val="0"/>
        <w:keepLines w:val="0"/>
        <w:pageBreakBefore w:val="0"/>
        <w:widowControl w:val="0"/>
        <w:kinsoku/>
        <w:wordWrap/>
        <w:overflowPunct/>
        <w:topLinePunct w:val="0"/>
        <w:bidi w:val="0"/>
        <w:adjustRightInd w:val="0"/>
        <w:snapToGrid w:val="0"/>
        <w:spacing w:line="560" w:lineRule="exact"/>
        <w:ind w:left="0" w:leftChars="0"/>
        <w:textAlignment w:val="baseline"/>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（二）坚持广泛覆盖。</w:t>
      </w:r>
      <w:r>
        <w:rPr>
          <w:rFonts w:hint="eastAsia" w:ascii="仿宋_GB2312" w:hAnsi="仿宋_GB2312" w:eastAsia="仿宋_GB2312" w:cs="仿宋_GB2312"/>
          <w:color w:val="auto"/>
          <w:sz w:val="32"/>
          <w:szCs w:val="32"/>
        </w:rPr>
        <w:t>要努力实现监督抽检覆盖城市、农村、城乡结合部等不同区域；在抽检品种和检测项目方面，要结合实际，合理确定抽检品种和检测项目，确保辖区重点品种、问题多发的重点项目检验全覆盖。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坚持问题导向。</w:t>
      </w:r>
      <w:r>
        <w:rPr>
          <w:rFonts w:hint="eastAsia" w:ascii="仿宋_GB2312" w:hAnsi="仿宋_GB2312" w:eastAsia="仿宋_GB2312" w:cs="仿宋_GB2312"/>
          <w:sz w:val="32"/>
          <w:szCs w:val="32"/>
          <w:lang w:eastAsia="zh-CN"/>
        </w:rPr>
        <w:t>紧盯舆论热点、</w:t>
      </w:r>
      <w:r>
        <w:rPr>
          <w:rFonts w:hint="eastAsia" w:ascii="仿宋_GB2312" w:hAnsi="仿宋_GB2312" w:eastAsia="仿宋_GB2312" w:cs="仿宋_GB2312"/>
          <w:sz w:val="32"/>
          <w:szCs w:val="32"/>
          <w:lang w:val="en-US" w:eastAsia="zh-CN"/>
        </w:rPr>
        <w:t>节令热销、问题焦点和突发性食品问题，围绕涉及人体健康的食品安全性指标，对重点领域、重点品种、重点项目开展抽检工作，提高食品问题发现率，依法对监督抽检不合格食品及时核查处置，对不合格食品生产经营企业进行跟踪抽检，保障人民群众舌尖上的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（四）坚持检管结合。</w:t>
      </w:r>
      <w:r>
        <w:rPr>
          <w:rFonts w:hint="eastAsia" w:ascii="仿宋_GB2312" w:hAnsi="仿宋_GB2312" w:eastAsia="仿宋_GB2312" w:cs="仿宋_GB2312"/>
          <w:sz w:val="32"/>
          <w:szCs w:val="32"/>
        </w:rPr>
        <w:t>将抽检工作与日常监管有机结合，促进“检管”深度融合，切实提高抽检监测的科学性和靶向性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通过加强抽检与日常监管有机结合，防范食品安全隐患和潜在风险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通过监督抽检结果、核查处置情况公开，倒逼食品生产经营者落实食品安全主体责任。</w:t>
      </w:r>
    </w:p>
    <w:p>
      <w:pPr>
        <w:keepNext w:val="0"/>
        <w:keepLines w:val="0"/>
        <w:pageBreakBefore w:val="0"/>
        <w:widowControl w:val="0"/>
        <w:numPr>
          <w:ilvl w:val="0"/>
          <w:numId w:val="0"/>
        </w:numPr>
        <w:kinsoku/>
        <w:wordWrap/>
        <w:overflowPunct/>
        <w:topLinePunct w:val="0"/>
        <w:bidi w:val="0"/>
        <w:spacing w:line="560" w:lineRule="exact"/>
        <w:ind w:firstLine="640" w:firstLineChars="200"/>
        <w:rPr>
          <w:rFonts w:hint="eastAsia" w:ascii="黑体" w:hAnsi="仿宋" w:eastAsia="黑体" w:cs="仿宋"/>
          <w:sz w:val="32"/>
          <w:szCs w:val="32"/>
        </w:rPr>
      </w:pPr>
      <w:r>
        <w:rPr>
          <w:rFonts w:hint="eastAsia" w:ascii="黑体" w:hAnsi="仿宋" w:eastAsia="黑体" w:cs="仿宋"/>
          <w:bCs/>
          <w:sz w:val="32"/>
          <w:szCs w:val="32"/>
          <w:lang w:val="en-US" w:eastAsia="zh-CN"/>
        </w:rPr>
        <w:t>二、</w:t>
      </w:r>
      <w:r>
        <w:rPr>
          <w:rFonts w:hint="eastAsia" w:ascii="黑体" w:hAnsi="仿宋" w:eastAsia="黑体" w:cs="仿宋"/>
          <w:bCs/>
          <w:sz w:val="32"/>
          <w:szCs w:val="32"/>
        </w:rPr>
        <w:t>工作任务</w:t>
      </w:r>
    </w:p>
    <w:p>
      <w:pPr>
        <w:keepNext w:val="0"/>
        <w:keepLines w:val="0"/>
        <w:pageBreakBefore w:val="0"/>
        <w:widowControl w:val="0"/>
        <w:kinsoku/>
        <w:wordWrap/>
        <w:overflowPunct/>
        <w:topLinePunct w:val="0"/>
        <w:bidi w:val="0"/>
        <w:spacing w:line="560" w:lineRule="exact"/>
        <w:ind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shd w:val="clear" w:color="auto" w:fill="FFFFFF"/>
        </w:rPr>
        <w:t>年全县</w:t>
      </w:r>
      <w:r>
        <w:rPr>
          <w:rFonts w:hint="eastAsia" w:ascii="仿宋_GB2312" w:hAnsi="仿宋" w:eastAsia="仿宋_GB2312" w:cs="仿宋"/>
          <w:sz w:val="32"/>
          <w:szCs w:val="32"/>
          <w:shd w:val="clear" w:color="auto" w:fill="FFFFFF"/>
          <w:lang w:eastAsia="zh-CN"/>
        </w:rPr>
        <w:t>食品</w:t>
      </w:r>
      <w:r>
        <w:rPr>
          <w:rFonts w:hint="eastAsia" w:ascii="仿宋_GB2312" w:hAnsi="仿宋" w:eastAsia="仿宋_GB2312" w:cs="仿宋"/>
          <w:sz w:val="32"/>
          <w:szCs w:val="32"/>
          <w:shd w:val="clear" w:color="auto" w:fill="FFFFFF"/>
        </w:rPr>
        <w:t>监督抽检任务</w:t>
      </w:r>
      <w:r>
        <w:rPr>
          <w:rFonts w:hint="eastAsia" w:ascii="仿宋_GB2312" w:hAnsi="仿宋" w:eastAsia="仿宋_GB2312" w:cs="仿宋"/>
          <w:sz w:val="32"/>
          <w:szCs w:val="32"/>
          <w:shd w:val="clear" w:color="auto" w:fill="FFFFFF"/>
          <w:lang w:val="en-US" w:eastAsia="zh-CN"/>
        </w:rPr>
        <w:t>250</w:t>
      </w:r>
      <w:r>
        <w:rPr>
          <w:rFonts w:hint="eastAsia" w:ascii="仿宋_GB2312" w:hAnsi="仿宋" w:eastAsia="仿宋_GB2312" w:cs="仿宋"/>
          <w:sz w:val="32"/>
          <w:szCs w:val="32"/>
          <w:shd w:val="clear" w:color="auto" w:fill="FFFFFF"/>
        </w:rPr>
        <w:t>批次</w:t>
      </w:r>
      <w:r>
        <w:rPr>
          <w:rFonts w:hint="eastAsia" w:ascii="仿宋_GB2312" w:hAnsi="仿宋" w:eastAsia="仿宋_GB2312" w:cs="仿宋"/>
          <w:sz w:val="32"/>
          <w:szCs w:val="32"/>
          <w:shd w:val="clear" w:color="auto" w:fill="FFFFFF"/>
          <w:lang w:eastAsia="zh-CN"/>
        </w:rPr>
        <w:t>、其中普通食品抽检</w:t>
      </w:r>
      <w:r>
        <w:rPr>
          <w:rFonts w:hint="eastAsia" w:ascii="仿宋_GB2312" w:hAnsi="仿宋" w:eastAsia="仿宋_GB2312" w:cs="仿宋"/>
          <w:sz w:val="32"/>
          <w:szCs w:val="32"/>
          <w:shd w:val="clear" w:color="auto" w:fill="FFFFFF"/>
          <w:lang w:val="en-US" w:eastAsia="zh-CN"/>
        </w:rPr>
        <w:t>50批次，</w:t>
      </w:r>
      <w:r>
        <w:rPr>
          <w:rFonts w:hint="eastAsia" w:ascii="仿宋_GB2312" w:hAnsi="仿宋" w:eastAsia="仿宋_GB2312" w:cs="仿宋"/>
          <w:sz w:val="32"/>
          <w:szCs w:val="32"/>
          <w:shd w:val="clear" w:color="auto" w:fill="FFFFFF"/>
          <w:lang w:eastAsia="zh-CN"/>
        </w:rPr>
        <w:t>食用农产品</w:t>
      </w:r>
      <w:r>
        <w:rPr>
          <w:rFonts w:hint="eastAsia" w:ascii="仿宋_GB2312" w:hAnsi="仿宋" w:eastAsia="仿宋_GB2312" w:cs="仿宋"/>
          <w:sz w:val="32"/>
          <w:szCs w:val="32"/>
          <w:shd w:val="clear" w:color="auto" w:fill="FFFFFF"/>
          <w:lang w:val="en-US" w:eastAsia="zh-CN"/>
        </w:rPr>
        <w:t>200批次。</w:t>
      </w:r>
    </w:p>
    <w:p>
      <w:pPr>
        <w:keepNext w:val="0"/>
        <w:keepLines w:val="0"/>
        <w:pageBreakBefore w:val="0"/>
        <w:widowControl w:val="0"/>
        <w:numPr>
          <w:ilvl w:val="0"/>
          <w:numId w:val="1"/>
        </w:numPr>
        <w:kinsoku/>
        <w:wordWrap/>
        <w:overflowPunct/>
        <w:topLinePunct w:val="0"/>
        <w:bidi w:val="0"/>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抽检对象</w:t>
      </w:r>
      <w:r>
        <w:rPr>
          <w:rFonts w:hint="eastAsia" w:ascii="楷体_GB2312" w:hAnsi="仿宋" w:eastAsia="楷体_GB2312" w:cs="仿宋"/>
          <w:sz w:val="32"/>
          <w:szCs w:val="32"/>
          <w:lang w:val="en-US" w:eastAsia="zh-CN"/>
        </w:rPr>
        <w:t>及检验项目</w:t>
      </w:r>
      <w:r>
        <w:rPr>
          <w:rFonts w:hint="eastAsia" w:ascii="楷体_GB2312" w:hAnsi="仿宋" w:eastAsia="楷体_GB2312" w:cs="仿宋"/>
          <w:sz w:val="32"/>
          <w:szCs w:val="32"/>
        </w:rPr>
        <w:t>。</w:t>
      </w:r>
      <w:r>
        <w:rPr>
          <w:rFonts w:hint="eastAsia" w:ascii="仿宋_GB2312" w:hAnsi="仿宋_GB2312" w:eastAsia="仿宋_GB2312" w:cs="仿宋_GB2312"/>
          <w:color w:val="auto"/>
          <w:sz w:val="32"/>
          <w:szCs w:val="32"/>
          <w:lang w:val="en-US" w:eastAsia="zh-CN"/>
        </w:rPr>
        <w:t>主要对本行政区域内批发市场、中小型超市、食用农产品集中交易市场、学校食堂和配餐公司及餐饮单位生产销售的餐饮食品、本行政区域内小作坊、小摊贩、小餐饮等进行抽检，根据监管需要适当抽取本行政区域获证企业生产的食品。</w:t>
      </w:r>
      <w:r>
        <w:rPr>
          <w:rFonts w:hint="eastAsia" w:ascii="仿宋_GB2312" w:hAnsi="仿宋" w:eastAsia="仿宋_GB2312" w:cs="仿宋"/>
          <w:sz w:val="32"/>
          <w:szCs w:val="32"/>
          <w:lang w:val="en-US" w:eastAsia="zh-CN"/>
        </w:rPr>
        <w:t>重点对食用农产品、粮食加工品、餐饮食品、食用油、饮料等进行抽检，抽样检验工作按照《食品安全监督抽检实施细则（2022年版）》执行，具体抽检品种及检验项目见附件1、2</w:t>
      </w:r>
      <w:r>
        <w:rPr>
          <w:rFonts w:hint="eastAsia" w:ascii="仿宋_GB2312" w:hAnsi="仿宋" w:eastAsia="仿宋_GB2312" w:cs="仿宋"/>
          <w:sz w:val="32"/>
          <w:szCs w:val="32"/>
        </w:rPr>
        <w:t>。</w:t>
      </w:r>
    </w:p>
    <w:p>
      <w:pPr>
        <w:pStyle w:val="4"/>
        <w:keepNext w:val="0"/>
        <w:keepLines w:val="0"/>
        <w:pageBreakBefore w:val="0"/>
        <w:widowControl w:val="0"/>
        <w:kinsoku/>
        <w:wordWrap/>
        <w:overflowPunct/>
        <w:topLinePunct w:val="0"/>
        <w:bidi w:val="0"/>
        <w:spacing w:before="0" w:beforeAutospacing="0" w:after="0" w:afterAutospacing="0" w:line="560" w:lineRule="exact"/>
        <w:ind w:firstLine="640" w:firstLineChars="200"/>
        <w:rPr>
          <w:rFonts w:hint="default" w:ascii="仿宋_GB2312" w:hAnsi="仿宋" w:eastAsia="仿宋_GB2312" w:cs="仿宋"/>
          <w:sz w:val="32"/>
          <w:szCs w:val="32"/>
          <w:lang w:val="en-US"/>
        </w:rPr>
      </w:pPr>
      <w:r>
        <w:rPr>
          <w:rFonts w:hint="eastAsia" w:ascii="楷体_GB2312" w:hAnsi="仿宋" w:eastAsia="楷体_GB2312" w:cs="仿宋"/>
          <w:sz w:val="32"/>
          <w:szCs w:val="32"/>
        </w:rPr>
        <w:t>（二）抽检时间、频次、任务</w:t>
      </w:r>
      <w:r>
        <w:rPr>
          <w:rFonts w:hint="eastAsia" w:ascii="楷体_GB2312" w:hAnsi="仿宋" w:eastAsia="楷体_GB2312" w:cs="仿宋"/>
          <w:sz w:val="32"/>
          <w:szCs w:val="32"/>
          <w:lang w:val="en-US" w:eastAsia="zh-CN"/>
        </w:rPr>
        <w:t>覆盖面</w:t>
      </w:r>
      <w:r>
        <w:rPr>
          <w:rFonts w:hint="eastAsia" w:ascii="楷体_GB2312" w:hAnsi="仿宋" w:eastAsia="楷体_GB2312" w:cs="仿宋"/>
          <w:sz w:val="32"/>
          <w:szCs w:val="32"/>
        </w:rPr>
        <w:t>。</w:t>
      </w:r>
      <w:r>
        <w:rPr>
          <w:rFonts w:hint="eastAsia" w:ascii="仿宋_GB2312" w:hAnsi="仿宋" w:eastAsia="仿宋_GB2312" w:cs="仿宋"/>
          <w:sz w:val="32"/>
          <w:szCs w:val="32"/>
        </w:rPr>
        <w:t>根据</w:t>
      </w:r>
      <w:r>
        <w:rPr>
          <w:rFonts w:hint="eastAsia" w:ascii="仿宋_GB2312" w:hAnsi="仿宋" w:eastAsia="仿宋_GB2312" w:cs="仿宋"/>
          <w:sz w:val="32"/>
          <w:szCs w:val="32"/>
          <w:lang w:eastAsia="zh-CN"/>
        </w:rPr>
        <w:t>食品</w:t>
      </w:r>
      <w:r>
        <w:rPr>
          <w:rFonts w:hint="eastAsia" w:ascii="仿宋_GB2312" w:hAnsi="仿宋" w:eastAsia="仿宋_GB2312" w:cs="仿宋"/>
          <w:sz w:val="32"/>
          <w:szCs w:val="32"/>
        </w:rPr>
        <w:t>季节特点按比例确定抽样频次和数量，每月抽检蔬菜、水果、畜禽肉、水产品、鲜蛋等</w:t>
      </w:r>
      <w:r>
        <w:rPr>
          <w:rFonts w:hint="eastAsia" w:ascii="仿宋_GB2312" w:hAnsi="仿宋" w:eastAsia="仿宋_GB2312" w:cs="仿宋"/>
          <w:sz w:val="32"/>
          <w:szCs w:val="32"/>
          <w:lang w:eastAsia="zh-CN"/>
        </w:rPr>
        <w:t>食品</w:t>
      </w:r>
      <w:r>
        <w:rPr>
          <w:rFonts w:hint="eastAsia" w:ascii="仿宋_GB2312" w:hAnsi="仿宋" w:eastAsia="仿宋_GB2312" w:cs="仿宋"/>
          <w:sz w:val="32"/>
          <w:szCs w:val="32"/>
        </w:rPr>
        <w:t>。</w:t>
      </w:r>
      <w:r>
        <w:rPr>
          <w:rFonts w:hint="eastAsia" w:ascii="仿宋_GB2312" w:hAnsi="仿宋_GB2312" w:eastAsia="仿宋_GB2312" w:cs="仿宋_GB2312"/>
          <w:color w:val="auto"/>
          <w:sz w:val="32"/>
          <w:szCs w:val="32"/>
          <w:lang w:eastAsia="zh-CN"/>
        </w:rPr>
        <w:t>按照半年完成全年抽检任务的</w:t>
      </w:r>
      <w:r>
        <w:rPr>
          <w:rFonts w:hint="eastAsia" w:ascii="仿宋_GB2312" w:hAnsi="仿宋_GB2312" w:eastAsia="仿宋_GB2312" w:cs="仿宋_GB2312"/>
          <w:color w:val="auto"/>
          <w:sz w:val="32"/>
          <w:szCs w:val="32"/>
          <w:lang w:val="en-US" w:eastAsia="zh-CN"/>
        </w:rPr>
        <w:t>50%、第三季度完成全年抽检任务80%的要求开展抽检工作，对县域内城乡结合部、农村地区农贸市场、集市、小型商超、便利店、小摊贩、小餐饮进行抽检，抽检对象原则上不与省局、市局重复。根据实际情况对不合格较多的食用农产品适当增加抽检频次，11月30日前完成全年抽样任务，12月10日前所有抽检数据在“国家食品安全抽样检验信息系统”填报完毕。</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（三）核查处置。</w:t>
      </w:r>
      <w:r>
        <w:rPr>
          <w:rFonts w:hint="eastAsia" w:ascii="仿宋_GB2312" w:hAnsi="仿宋" w:eastAsia="仿宋_GB2312" w:cs="仿宋"/>
          <w:sz w:val="32"/>
          <w:szCs w:val="32"/>
        </w:rPr>
        <w:t>对抽检发现的不合格</w:t>
      </w:r>
      <w:r>
        <w:rPr>
          <w:rFonts w:hint="eastAsia" w:ascii="仿宋_GB2312" w:hAnsi="仿宋" w:eastAsia="仿宋_GB2312" w:cs="仿宋"/>
          <w:sz w:val="32"/>
          <w:szCs w:val="32"/>
          <w:lang w:eastAsia="zh-CN"/>
        </w:rPr>
        <w:t>食品</w:t>
      </w:r>
      <w:r>
        <w:rPr>
          <w:rFonts w:hint="eastAsia" w:ascii="仿宋_GB2312" w:hAnsi="仿宋" w:eastAsia="仿宋_GB2312" w:cs="仿宋"/>
          <w:sz w:val="32"/>
          <w:szCs w:val="32"/>
        </w:rPr>
        <w:t>，应依法责令经营者停止销售该产品。对检出可能对身体健康和生命安全造成严重危害的产品，要按照规定立即启动核查处置工作。检验结果表明</w:t>
      </w:r>
      <w:r>
        <w:rPr>
          <w:rFonts w:hint="eastAsia" w:ascii="仿宋_GB2312" w:hAnsi="仿宋" w:eastAsia="仿宋_GB2312" w:cs="仿宋"/>
          <w:sz w:val="32"/>
          <w:szCs w:val="32"/>
          <w:lang w:eastAsia="zh-CN"/>
        </w:rPr>
        <w:t>食品</w:t>
      </w:r>
      <w:r>
        <w:rPr>
          <w:rFonts w:hint="eastAsia" w:ascii="仿宋_GB2312" w:hAnsi="仿宋" w:eastAsia="仿宋_GB2312" w:cs="仿宋"/>
          <w:sz w:val="32"/>
          <w:szCs w:val="32"/>
        </w:rPr>
        <w:t>可能存在安全隐患的，销售者应当暂停销售；确定不符合</w:t>
      </w:r>
      <w:r>
        <w:rPr>
          <w:rFonts w:hint="eastAsia" w:ascii="仿宋_GB2312" w:hAnsi="仿宋" w:eastAsia="仿宋_GB2312" w:cs="仿宋"/>
          <w:sz w:val="32"/>
          <w:szCs w:val="32"/>
          <w:lang w:eastAsia="zh-CN"/>
        </w:rPr>
        <w:t>食品</w:t>
      </w:r>
      <w:r>
        <w:rPr>
          <w:rFonts w:hint="eastAsia" w:ascii="仿宋_GB2312" w:hAnsi="仿宋" w:eastAsia="仿宋_GB2312" w:cs="仿宋"/>
          <w:sz w:val="32"/>
          <w:szCs w:val="32"/>
        </w:rPr>
        <w:t>安全标准的，应依法予以行政处罚。核查处置过程中发现涉嫌犯罪或涉及其他部门职责的，要及时移送移交。</w:t>
      </w:r>
    </w:p>
    <w:p>
      <w:pPr>
        <w:pStyle w:val="4"/>
        <w:keepNext w:val="0"/>
        <w:keepLines w:val="0"/>
        <w:pageBreakBefore w:val="0"/>
        <w:widowControl w:val="0"/>
        <w:kinsoku/>
        <w:wordWrap/>
        <w:overflowPunct/>
        <w:topLinePunct w:val="0"/>
        <w:bidi w:val="0"/>
        <w:spacing w:before="0" w:beforeAutospacing="0" w:after="0" w:afterAutospacing="0" w:line="560" w:lineRule="exact"/>
        <w:ind w:firstLine="627" w:firstLineChars="196"/>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收到不合格食品检验报告后，要按照规定,及时启动对不合格食品及其生产经营者的核查处置，</w:t>
      </w:r>
      <w:r>
        <w:rPr>
          <w:rFonts w:hint="eastAsia" w:ascii="仿宋_GB2312" w:hAnsi="仿宋" w:eastAsia="仿宋_GB2312" w:cs="仿宋"/>
          <w:sz w:val="32"/>
          <w:szCs w:val="32"/>
          <w:shd w:val="clear" w:color="auto" w:fill="FFFFFF"/>
          <w:lang w:eastAsia="zh-CN"/>
        </w:rPr>
        <w:t>食用农产品</w:t>
      </w:r>
      <w:r>
        <w:rPr>
          <w:rFonts w:hint="eastAsia" w:ascii="仿宋_GB2312" w:hAnsi="仿宋" w:eastAsia="仿宋_GB2312" w:cs="仿宋"/>
          <w:sz w:val="32"/>
          <w:szCs w:val="32"/>
          <w:shd w:val="clear" w:color="auto" w:fill="FFFFFF"/>
        </w:rPr>
        <w:t>核查处置情况及时填报“食品安全抽检信息管理系统”。对检验结论表明含有非食用物质，或其他可能存在较高或急性健康风险的，应在24小时内启动核查处置程序。</w:t>
      </w:r>
    </w:p>
    <w:p>
      <w:pPr>
        <w:keepNext w:val="0"/>
        <w:keepLines w:val="0"/>
        <w:pageBreakBefore w:val="0"/>
        <w:widowControl w:val="0"/>
        <w:kinsoku/>
        <w:wordWrap/>
        <w:overflowPunct/>
        <w:topLinePunct w:val="0"/>
        <w:bidi w:val="0"/>
        <w:adjustRightInd w:val="0"/>
        <w:snapToGrid w:val="0"/>
        <w:spacing w:line="560" w:lineRule="exact"/>
        <w:ind w:left="0" w:leftChars="0" w:firstLine="640" w:firstLineChars="200"/>
        <w:rPr>
          <w:rFonts w:hint="eastAsia" w:ascii="仿宋_GB2312" w:hAnsi="仿宋" w:eastAsia="仿宋_GB2312" w:cs="仿宋"/>
          <w:sz w:val="32"/>
          <w:szCs w:val="32"/>
          <w:shd w:val="clear" w:color="auto" w:fill="FFFFFF"/>
        </w:rPr>
      </w:pPr>
      <w:r>
        <w:rPr>
          <w:rFonts w:hint="eastAsia" w:ascii="楷体_GB2312" w:hAnsi="仿宋" w:eastAsia="楷体_GB2312" w:cs="仿宋"/>
          <w:sz w:val="32"/>
          <w:szCs w:val="32"/>
        </w:rPr>
        <w:t>（四）信息发布。</w:t>
      </w:r>
      <w:r>
        <w:rPr>
          <w:rFonts w:hint="eastAsia" w:ascii="仿宋_GB2312" w:hAnsi="仿宋" w:eastAsia="仿宋_GB2312" w:cs="仿宋"/>
          <w:sz w:val="32"/>
          <w:szCs w:val="32"/>
          <w:shd w:val="clear" w:color="auto" w:fill="FFFFFF"/>
        </w:rPr>
        <w:t>抽检信息及时</w:t>
      </w:r>
      <w:r>
        <w:rPr>
          <w:rFonts w:hint="eastAsia" w:ascii="仿宋_GB2312" w:hAnsi="仿宋" w:eastAsia="仿宋_GB2312" w:cs="仿宋"/>
          <w:sz w:val="32"/>
          <w:szCs w:val="32"/>
        </w:rPr>
        <w:t>在政府向社会公布，公布内容包括产品合格信息和不合格产品信息。其中，</w:t>
      </w:r>
      <w:r>
        <w:rPr>
          <w:rFonts w:hint="eastAsia" w:ascii="仿宋_GB2312" w:hAnsi="仿宋_GB2312" w:eastAsia="仿宋_GB2312" w:cs="仿宋_GB2312"/>
          <w:color w:val="auto"/>
          <w:sz w:val="32"/>
          <w:szCs w:val="32"/>
        </w:rPr>
        <w:t>产品合格信息主要包括抽样日期、产品名称、产地、被抽样单位地址、被抽样单位名称、抽检结果等，并需注明该产品合格信息是指本次抽检标称的产品；不合格产品信息主要包括抽样日期、产品名称、产地、被抽样单位地址、被抽样单位名称、不合格项目、检验结果、检验机构和检验项目等。</w:t>
      </w:r>
      <w:r>
        <w:rPr>
          <w:rFonts w:hint="eastAsia" w:ascii="仿宋_GB2312" w:hAnsi="仿宋_GB2312" w:eastAsia="仿宋_GB2312" w:cs="仿宋_GB2312"/>
          <w:color w:val="auto"/>
          <w:kern w:val="0"/>
          <w:sz w:val="32"/>
          <w:szCs w:val="32"/>
          <w:shd w:val="clear" w:color="080000" w:fill="FFFFFF"/>
        </w:rPr>
        <w:t>对不合格产品要组织专家进行风险解读。</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（五）数据报送。</w:t>
      </w:r>
      <w:r>
        <w:rPr>
          <w:rFonts w:hint="eastAsia" w:ascii="仿宋_GB2312" w:hAnsi="仿宋" w:eastAsia="仿宋_GB2312" w:cs="仿宋"/>
          <w:sz w:val="32"/>
          <w:szCs w:val="32"/>
        </w:rPr>
        <w:t>抽检数据应严格按照规定的时限和规范要求，及时报送至“食品安全抽检监测信息系统”</w:t>
      </w:r>
      <w:r>
        <w:rPr>
          <w:rFonts w:hint="eastAsia" w:ascii="仿宋_GB2312" w:hAnsi="仿宋" w:eastAsia="仿宋_GB2312" w:cs="仿宋"/>
          <w:sz w:val="32"/>
          <w:szCs w:val="32"/>
          <w:lang w:eastAsia="zh-CN"/>
        </w:rPr>
        <w:t>食品</w:t>
      </w:r>
      <w:r>
        <w:rPr>
          <w:rFonts w:hint="eastAsia" w:ascii="仿宋_GB2312" w:hAnsi="仿宋" w:eastAsia="仿宋_GB2312" w:cs="仿宋"/>
          <w:sz w:val="32"/>
          <w:szCs w:val="32"/>
        </w:rPr>
        <w:t>直报模块。对驳回的数据，要及时修改报送。</w:t>
      </w:r>
    </w:p>
    <w:p>
      <w:pPr>
        <w:keepNext w:val="0"/>
        <w:keepLines w:val="0"/>
        <w:pageBreakBefore w:val="0"/>
        <w:widowControl w:val="0"/>
        <w:shd w:val="clear" w:color="050000" w:fill="FFFFFF"/>
        <w:kinsoku/>
        <w:wordWrap/>
        <w:overflowPunct/>
        <w:topLinePunct w:val="0"/>
        <w:bidi w:val="0"/>
        <w:adjustRightInd w:val="0"/>
        <w:snapToGrid w:val="0"/>
        <w:spacing w:line="560" w:lineRule="exact"/>
        <w:ind w:left="0" w:leftChars="0" w:firstLine="640" w:firstLineChars="200"/>
        <w:jc w:val="left"/>
        <w:rPr>
          <w:rStyle w:val="7"/>
          <w:rFonts w:hint="eastAsia" w:ascii="黑体" w:hAnsi="仿宋" w:eastAsia="黑体" w:cs="仿宋"/>
          <w:b w:val="0"/>
          <w:sz w:val="32"/>
          <w:szCs w:val="32"/>
          <w:shd w:val="clear" w:color="auto" w:fill="FFFFFF"/>
          <w:lang w:val="en-US" w:eastAsia="zh-CN"/>
        </w:rPr>
      </w:pPr>
      <w:r>
        <w:rPr>
          <w:rStyle w:val="7"/>
          <w:rFonts w:hint="eastAsia" w:ascii="黑体" w:hAnsi="仿宋" w:eastAsia="黑体" w:cs="仿宋"/>
          <w:b w:val="0"/>
          <w:sz w:val="32"/>
          <w:szCs w:val="32"/>
          <w:shd w:val="clear" w:color="auto" w:fill="FFFFFF"/>
        </w:rPr>
        <w:t>三、</w:t>
      </w:r>
      <w:r>
        <w:rPr>
          <w:rStyle w:val="7"/>
          <w:rFonts w:hint="eastAsia" w:ascii="黑体" w:hAnsi="仿宋" w:eastAsia="黑体" w:cs="仿宋"/>
          <w:b w:val="0"/>
          <w:sz w:val="32"/>
          <w:szCs w:val="32"/>
          <w:shd w:val="clear" w:color="auto" w:fill="FFFFFF"/>
          <w:lang w:val="en-US"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（一）加强组织领导。</w:t>
      </w:r>
      <w:r>
        <w:rPr>
          <w:rFonts w:hint="eastAsia" w:ascii="仿宋_GB2312" w:hAnsi="仿宋_GB2312" w:eastAsia="仿宋_GB2312" w:cs="仿宋_GB2312"/>
          <w:sz w:val="32"/>
          <w:szCs w:val="32"/>
          <w:lang w:eastAsia="zh-CN"/>
        </w:rPr>
        <w:t>各县（市、区）局</w:t>
      </w:r>
      <w:r>
        <w:rPr>
          <w:rFonts w:hint="eastAsia" w:ascii="仿宋_GB2312" w:hAnsi="仿宋_GB2312" w:eastAsia="仿宋_GB2312" w:cs="仿宋_GB2312"/>
          <w:sz w:val="32"/>
          <w:szCs w:val="32"/>
        </w:rPr>
        <w:t>要积极支持并主动配合承检机构开展抽样工作，确保样品客观真实，具有代表性。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zh-CN"/>
        </w:rPr>
        <w:t>（二）规范抽检工作。</w:t>
      </w:r>
      <w:r>
        <w:rPr>
          <w:rFonts w:hint="eastAsia" w:ascii="仿宋_GB2312" w:hAnsi="仿宋_GB2312" w:eastAsia="仿宋_GB2312" w:cs="仿宋_GB2312"/>
          <w:sz w:val="32"/>
          <w:szCs w:val="32"/>
        </w:rPr>
        <w:t>抽样检验机构要严格遵循抽样流程和工作纪律，及时按规定通过“国家食品安全抽样检验信息系统”报送抽检数据。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eastAsia="zh-CN"/>
        </w:rPr>
        <w:t>（三）</w:t>
      </w:r>
      <w:r>
        <w:rPr>
          <w:rFonts w:hint="eastAsia" w:ascii="楷体" w:hAnsi="楷体" w:eastAsia="楷体" w:cs="楷体"/>
          <w:sz w:val="32"/>
          <w:szCs w:val="32"/>
          <w:lang w:val="en-US" w:eastAsia="zh-CN"/>
        </w:rPr>
        <w:t>强化信息录入。</w:t>
      </w:r>
      <w:r>
        <w:rPr>
          <w:rFonts w:hint="eastAsia" w:ascii="仿宋_GB2312" w:hAnsi="仿宋_GB2312" w:eastAsia="仿宋_GB2312" w:cs="仿宋_GB2312"/>
          <w:sz w:val="32"/>
          <w:szCs w:val="32"/>
        </w:rPr>
        <w:t>抽样检验机构要</w:t>
      </w:r>
      <w:r>
        <w:rPr>
          <w:rFonts w:hint="eastAsia" w:ascii="仿宋_GB2312" w:hAnsi="仿宋_GB2312" w:eastAsia="仿宋_GB2312" w:cs="仿宋_GB2312"/>
          <w:sz w:val="32"/>
          <w:szCs w:val="32"/>
          <w:lang w:val="en-US" w:eastAsia="zh-CN"/>
        </w:rPr>
        <w:t>指派专人负责抽样检验数据的审核把关，定期梳理录入</w:t>
      </w:r>
      <w:r>
        <w:rPr>
          <w:rFonts w:hint="eastAsia" w:ascii="仿宋_GB2312" w:hAnsi="仿宋_GB2312" w:eastAsia="仿宋_GB2312" w:cs="仿宋_GB2312"/>
          <w:sz w:val="32"/>
          <w:szCs w:val="32"/>
        </w:rPr>
        <w:t>“国家食品安全抽样检验信息系统”</w:t>
      </w:r>
      <w:r>
        <w:rPr>
          <w:rFonts w:hint="eastAsia" w:ascii="仿宋_GB2312" w:hAnsi="仿宋_GB2312" w:eastAsia="仿宋_GB2312" w:cs="仿宋_GB2312"/>
          <w:sz w:val="32"/>
          <w:szCs w:val="32"/>
          <w:lang w:val="en-US" w:eastAsia="zh-CN"/>
        </w:rPr>
        <w:t>的各项数据，全面提高数据质量，</w:t>
      </w:r>
      <w:r>
        <w:rPr>
          <w:rFonts w:hint="eastAsia" w:ascii="仿宋_GB2312" w:hAnsi="仿宋_GB2312" w:eastAsia="仿宋_GB2312" w:cs="仿宋_GB2312"/>
          <w:color w:val="auto"/>
          <w:sz w:val="32"/>
          <w:szCs w:val="32"/>
          <w:lang w:eastAsia="zh-CN"/>
        </w:rPr>
        <w:t>对拟撤销已录入“</w:t>
      </w:r>
      <w:r>
        <w:rPr>
          <w:rFonts w:hint="eastAsia" w:ascii="仿宋_GB2312" w:hAnsi="仿宋_GB2312" w:eastAsia="仿宋_GB2312" w:cs="仿宋_GB2312"/>
          <w:sz w:val="32"/>
          <w:szCs w:val="32"/>
        </w:rPr>
        <w:t>国家食品安全抽样检验信息系统</w:t>
      </w:r>
      <w:r>
        <w:rPr>
          <w:rFonts w:hint="eastAsia" w:ascii="仿宋_GB2312" w:hAnsi="仿宋_GB2312" w:eastAsia="仿宋_GB2312" w:cs="仿宋_GB2312"/>
          <w:color w:val="auto"/>
          <w:sz w:val="32"/>
          <w:szCs w:val="32"/>
          <w:lang w:eastAsia="zh-CN"/>
        </w:rPr>
        <w:t>”的食品抽检任务的，须上报市局经省局审核同意后方可撤销</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lang w:val="zh-CN"/>
        </w:rPr>
        <w:t>（四）</w:t>
      </w:r>
      <w:r>
        <w:rPr>
          <w:rFonts w:hint="eastAsia" w:ascii="楷体" w:hAnsi="楷体" w:eastAsia="楷体" w:cs="楷体"/>
          <w:sz w:val="32"/>
          <w:szCs w:val="32"/>
        </w:rPr>
        <w:t>依法核查处置。</w:t>
      </w:r>
      <w:r>
        <w:rPr>
          <w:rFonts w:hint="eastAsia" w:ascii="仿宋_GB2312" w:hAnsi="仿宋_GB2312" w:eastAsia="仿宋_GB2312" w:cs="仿宋_GB2312"/>
          <w:sz w:val="32"/>
          <w:szCs w:val="32"/>
          <w:lang w:val="zh-CN"/>
        </w:rPr>
        <w:t>对于抽检发现的不合格食品，按规定依法开展核查处置工作，及时上报信息系统。</w:t>
      </w:r>
      <w:r>
        <w:rPr>
          <w:rFonts w:hint="eastAsia" w:ascii="仿宋_GB2312" w:hAnsi="仿宋_GB2312" w:eastAsia="仿宋_GB2312" w:cs="仿宋_GB2312"/>
          <w:color w:val="auto"/>
          <w:sz w:val="32"/>
          <w:szCs w:val="32"/>
          <w:lang w:val="en-US" w:eastAsia="zh-CN"/>
        </w:rPr>
        <w:t>检验结论表明含有非食用物质或其他可能存在较高风险的，应在24小时内启动核查处置程序。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zh-CN"/>
        </w:rPr>
        <w:t>（五）及时报送信息。</w:t>
      </w:r>
      <w:r>
        <w:rPr>
          <w:rFonts w:hint="eastAsia" w:ascii="仿宋_GB2312" w:hAnsi="仿宋_GB2312" w:eastAsia="仿宋_GB2312" w:cs="仿宋_GB2312"/>
          <w:sz w:val="32"/>
          <w:szCs w:val="32"/>
        </w:rPr>
        <w:t>抽检数据全部纳入“国家食品安全抽样检验信息系统”，202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日前承检机构将检验结果汇总和</w:t>
      </w:r>
      <w:r>
        <w:rPr>
          <w:rFonts w:hint="eastAsia" w:ascii="仿宋_GB2312" w:hAnsi="仿宋_GB2312" w:eastAsia="仿宋_GB2312" w:cs="仿宋_GB2312"/>
          <w:sz w:val="32"/>
          <w:szCs w:val="32"/>
          <w:lang w:eastAsia="zh-CN"/>
        </w:rPr>
        <w:t>食品安全监督</w:t>
      </w:r>
      <w:r>
        <w:rPr>
          <w:rFonts w:hint="eastAsia" w:ascii="仿宋_GB2312" w:hAnsi="仿宋_GB2312" w:eastAsia="仿宋_GB2312" w:cs="仿宋_GB2312"/>
          <w:sz w:val="32"/>
          <w:szCs w:val="32"/>
        </w:rPr>
        <w:t>抽检分析报告报送市局食品安全抽检监测科。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color w:val="auto"/>
          <w:sz w:val="32"/>
          <w:szCs w:val="32"/>
        </w:rPr>
        <w:t>参与抽检的市场监管部门、抽样单位、检验机构及其工作人员</w:t>
      </w:r>
      <w:r>
        <w:rPr>
          <w:rFonts w:hint="eastAsia" w:ascii="仿宋_GB2312" w:hAnsi="仿宋_GB2312" w:eastAsia="仿宋_GB2312" w:cs="仿宋_GB2312"/>
          <w:color w:val="auto"/>
          <w:sz w:val="32"/>
          <w:szCs w:val="32"/>
          <w:lang w:eastAsia="zh-CN"/>
        </w:rPr>
        <w:t>要严格按照《食品安全抽样检验管理办法》和《食用农产品抽样检验和核查处置规定》等法律法规开展抽样检验工作，</w:t>
      </w:r>
      <w:r>
        <w:rPr>
          <w:rFonts w:hint="default" w:ascii="仿宋_GB2312" w:hAnsi="仿宋_GB2312" w:eastAsia="仿宋_GB2312" w:cs="仿宋_GB2312"/>
          <w:color w:val="auto"/>
          <w:sz w:val="32"/>
          <w:szCs w:val="32"/>
          <w:lang w:eastAsia="zh-CN"/>
        </w:rPr>
        <w:t>不得</w:t>
      </w:r>
      <w:r>
        <w:rPr>
          <w:rFonts w:hint="default" w:ascii="仿宋_GB2312" w:hAnsi="仿宋_GB2312" w:eastAsia="仿宋_GB2312" w:cs="仿宋_GB2312"/>
          <w:color w:val="auto"/>
          <w:sz w:val="32"/>
          <w:szCs w:val="32"/>
        </w:rPr>
        <w:t>随意更改抽样地点和样品信息，不得瞒报、谎报、漏报检测数据，不得擅自发布有关抽检的信息，不得在开展抽样工作前事先通知被抽检单位和接受被抽检单位的馈赠，不得利用抽检结果开展有偿活动、牟取不正当利益。对发现的违法违规抽检行为一律依法依规追究相关单位及人员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普通食品抽检品种和检验项目可根据工作需要适时进行调整。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吕树军 汪继忠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电  话：0455-6498001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w w:val="90"/>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w w:val="90"/>
          <w:sz w:val="32"/>
          <w:szCs w:val="32"/>
          <w:lang w:val="en-US" w:eastAsia="zh-CN"/>
        </w:rPr>
        <w:t>1、2022年食品监督检验工作计划</w:t>
      </w:r>
    </w:p>
    <w:p>
      <w:pPr>
        <w:keepNext w:val="0"/>
        <w:keepLines w:val="0"/>
        <w:pageBreakBefore w:val="0"/>
        <w:widowControl w:val="0"/>
        <w:kinsoku/>
        <w:wordWrap/>
        <w:overflowPunct/>
        <w:topLinePunct w:val="0"/>
        <w:autoSpaceDE/>
        <w:autoSpaceDN/>
        <w:bidi w:val="0"/>
        <w:adjustRightInd/>
        <w:snapToGrid/>
        <w:spacing w:line="560" w:lineRule="exact"/>
        <w:ind w:firstLine="1728" w:firstLineChars="600"/>
        <w:textAlignment w:val="auto"/>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2、2022年望奎县食品抽检任务计划表</w:t>
      </w:r>
    </w:p>
    <w:p>
      <w:pPr>
        <w:keepNext w:val="0"/>
        <w:keepLines w:val="0"/>
        <w:pageBreakBefore w:val="0"/>
        <w:widowControl w:val="0"/>
        <w:kinsoku/>
        <w:wordWrap/>
        <w:overflowPunct/>
        <w:topLinePunct w:val="0"/>
        <w:autoSpaceDE/>
        <w:autoSpaceDN/>
        <w:bidi w:val="0"/>
        <w:adjustRightInd/>
        <w:snapToGrid/>
        <w:spacing w:line="560" w:lineRule="exact"/>
        <w:ind w:firstLine="1728"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w w:val="90"/>
          <w:sz w:val="32"/>
          <w:szCs w:val="32"/>
          <w:lang w:val="en-US" w:eastAsia="zh-CN"/>
        </w:rPr>
        <w:t>3、2022年望奎县食品农产品抽检任务计划表</w:t>
      </w:r>
    </w:p>
    <w:p>
      <w:pPr>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bidi w:val="0"/>
        <w:spacing w:line="560" w:lineRule="exact"/>
        <w:ind w:left="0" w:leftChars="0" w:firstLine="0" w:firstLineChars="0"/>
        <w:jc w:val="left"/>
        <w:rPr>
          <w:rFonts w:hint="eastAsia"/>
          <w:sz w:val="36"/>
          <w:szCs w:val="36"/>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jc w:val="left"/>
        <w:rPr>
          <w:rFonts w:hint="eastAsia"/>
          <w:sz w:val="36"/>
          <w:szCs w:val="36"/>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jc w:val="left"/>
        <w:rPr>
          <w:rFonts w:hint="eastAsia"/>
          <w:sz w:val="36"/>
          <w:szCs w:val="36"/>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jc w:val="left"/>
        <w:rPr>
          <w:rFonts w:hint="eastAsia"/>
          <w:sz w:val="36"/>
          <w:szCs w:val="36"/>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jc w:val="left"/>
        <w:rPr>
          <w:rFonts w:hint="eastAsia"/>
          <w:sz w:val="36"/>
          <w:szCs w:val="36"/>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jc w:val="left"/>
        <w:rPr>
          <w:rFonts w:hint="eastAsia"/>
          <w:sz w:val="36"/>
          <w:szCs w:val="36"/>
          <w:lang w:val="en-US" w:eastAsia="zh-CN"/>
        </w:rPr>
      </w:pPr>
      <w:r>
        <w:rPr>
          <w:rFonts w:hint="eastAsia"/>
          <w:sz w:val="36"/>
          <w:szCs w:val="36"/>
          <w:lang w:val="en-US" w:eastAsia="zh-CN"/>
        </w:rPr>
        <w:t>附件2：</w:t>
      </w:r>
    </w:p>
    <w:p>
      <w:pPr>
        <w:keepNext w:val="0"/>
        <w:keepLines w:val="0"/>
        <w:pageBreakBefore w:val="0"/>
        <w:widowControl w:val="0"/>
        <w:kinsoku/>
        <w:wordWrap/>
        <w:overflowPunct/>
        <w:topLinePunct w:val="0"/>
        <w:bidi w:val="0"/>
        <w:spacing w:line="560" w:lineRule="exact"/>
        <w:ind w:firstLine="651" w:firstLineChars="200"/>
        <w:jc w:val="center"/>
        <w:rPr>
          <w:rFonts w:hint="default"/>
          <w:sz w:val="36"/>
          <w:szCs w:val="36"/>
          <w:lang w:val="en-US" w:eastAsia="zh-CN"/>
        </w:rPr>
      </w:pPr>
      <w:r>
        <w:rPr>
          <w:rFonts w:hint="eastAsia" w:ascii="黑体" w:hAnsi="黑体" w:eastAsia="黑体" w:cs="黑体"/>
          <w:b/>
          <w:bCs/>
          <w:w w:val="90"/>
          <w:sz w:val="36"/>
          <w:szCs w:val="36"/>
          <w:lang w:val="en-US" w:eastAsia="zh-CN"/>
        </w:rPr>
        <w:t>2022年望奎县食品抽检任务计划表</w:t>
      </w:r>
    </w:p>
    <w:tbl>
      <w:tblPr>
        <w:tblStyle w:val="5"/>
        <w:tblW w:w="11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1179"/>
        <w:gridCol w:w="1056"/>
        <w:gridCol w:w="1206"/>
        <w:gridCol w:w="1943"/>
        <w:gridCol w:w="899"/>
        <w:gridCol w:w="3784"/>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blHeader/>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序列</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食品大类</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（一级）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食品亚类</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（二级）</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食品品种</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（三级）</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食品细类</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（四级）</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风险</w:t>
            </w:r>
          </w:p>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等级</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检验项目</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粮食加工品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大米</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大米</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大米</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铅（以</w:t>
            </w:r>
            <w:r>
              <w:rPr>
                <w:rFonts w:hint="default" w:ascii="Times New Roman" w:hAnsi="Times New Roman" w:eastAsia="宋体" w:cs="Times New Roman"/>
                <w:i w:val="0"/>
                <w:iCs w:val="0"/>
                <w:color w:val="000000"/>
                <w:kern w:val="0"/>
                <w:sz w:val="20"/>
                <w:szCs w:val="20"/>
                <w:u w:val="none"/>
                <w:lang w:val="en-US" w:eastAsia="zh-CN" w:bidi="ar"/>
              </w:rPr>
              <w:t>Pb</w:t>
            </w:r>
            <w:r>
              <w:rPr>
                <w:rFonts w:hint="eastAsia" w:ascii="宋体" w:hAnsi="宋体" w:eastAsia="宋体" w:cs="宋体"/>
                <w:i w:val="0"/>
                <w:iCs w:val="0"/>
                <w:color w:val="000000"/>
                <w:kern w:val="0"/>
                <w:sz w:val="20"/>
                <w:szCs w:val="20"/>
                <w:u w:val="none"/>
                <w:lang w:val="en-US" w:eastAsia="zh-CN" w:bidi="ar"/>
              </w:rPr>
              <w:t>计）、镉（以</w:t>
            </w:r>
            <w:r>
              <w:rPr>
                <w:rFonts w:hint="default" w:ascii="Times New Roman" w:hAnsi="Times New Roman" w:eastAsia="宋体" w:cs="Times New Roman"/>
                <w:i w:val="0"/>
                <w:iCs w:val="0"/>
                <w:color w:val="000000"/>
                <w:kern w:val="0"/>
                <w:sz w:val="20"/>
                <w:szCs w:val="20"/>
                <w:u w:val="none"/>
                <w:lang w:val="en-US" w:eastAsia="zh-CN" w:bidi="ar"/>
              </w:rPr>
              <w:t>Cd</w:t>
            </w:r>
            <w:r>
              <w:rPr>
                <w:rFonts w:hint="eastAsia" w:ascii="宋体" w:hAnsi="宋体" w:eastAsia="宋体" w:cs="宋体"/>
                <w:i w:val="0"/>
                <w:iCs w:val="0"/>
                <w:color w:val="000000"/>
                <w:kern w:val="0"/>
                <w:sz w:val="20"/>
                <w:szCs w:val="20"/>
                <w:u w:val="none"/>
                <w:lang w:val="en-US" w:eastAsia="zh-CN" w:bidi="ar"/>
              </w:rPr>
              <w:t>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小麦粉</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小麦粉</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小麦粉</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镉（以</w:t>
            </w:r>
            <w:r>
              <w:rPr>
                <w:rFonts w:hint="default" w:ascii="Times New Roman" w:hAnsi="Times New Roman" w:eastAsia="宋体" w:cs="Times New Roman"/>
                <w:i w:val="0"/>
                <w:iCs w:val="0"/>
                <w:color w:val="000000"/>
                <w:kern w:val="0"/>
                <w:sz w:val="20"/>
                <w:szCs w:val="20"/>
                <w:u w:val="none"/>
                <w:lang w:val="en-US" w:eastAsia="zh-CN" w:bidi="ar"/>
              </w:rPr>
              <w:t>Cd</w:t>
            </w:r>
            <w:r>
              <w:rPr>
                <w:rFonts w:hint="eastAsia" w:ascii="宋体" w:hAnsi="宋体" w:eastAsia="宋体" w:cs="宋体"/>
                <w:i w:val="0"/>
                <w:iCs w:val="0"/>
                <w:color w:val="000000"/>
                <w:kern w:val="0"/>
                <w:sz w:val="20"/>
                <w:szCs w:val="20"/>
                <w:u w:val="none"/>
                <w:lang w:val="en-US" w:eastAsia="zh-CN" w:bidi="ar"/>
              </w:rPr>
              <w:t>计）、过氧化苯甲酰</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铅（以</w:t>
            </w:r>
            <w:r>
              <w:rPr>
                <w:rFonts w:hint="default" w:ascii="Times New Roman" w:hAnsi="Times New Roman" w:eastAsia="宋体" w:cs="Times New Roman"/>
                <w:i w:val="0"/>
                <w:iCs w:val="0"/>
                <w:color w:val="000000"/>
                <w:kern w:val="0"/>
                <w:sz w:val="20"/>
                <w:szCs w:val="20"/>
                <w:u w:val="none"/>
                <w:lang w:val="en-US" w:eastAsia="zh-CN" w:bidi="ar"/>
              </w:rPr>
              <w:t>Pb</w:t>
            </w:r>
            <w:r>
              <w:rPr>
                <w:rFonts w:hint="eastAsia" w:ascii="宋体" w:hAnsi="宋体" w:eastAsia="宋体" w:cs="宋体"/>
                <w:i w:val="0"/>
                <w:iCs w:val="0"/>
                <w:color w:val="000000"/>
                <w:kern w:val="0"/>
                <w:sz w:val="20"/>
                <w:szCs w:val="20"/>
                <w:u w:val="none"/>
                <w:lang w:val="en-US" w:eastAsia="zh-CN" w:bidi="ar"/>
              </w:rPr>
              <w:t>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食用植物油(含煎炸用油)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食用植物油 (半精炼、全精炼)</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芝麻油</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酸值</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酸价、过氧化值</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大豆油</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酸值</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酸价、过氧化值</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调味品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酱油</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酱油</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酱油</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苯甲酸及其钠盐（以苯甲酸计）、山梨酸及其钾盐（以山梨酸计）、菌落总数、大肠菌群</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食醋</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食醋</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食醋</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苯甲酸及其钠盐（以苯甲酸计）、山梨酸及其钾盐（以山梨酸计）、糖精钠（以糖精计）、菌落总数</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酱类</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酿造酱</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黄豆酱、甜面酱等</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苯甲酸及其钠盐（以苯甲酸计）、山梨酸及其钾盐（以山梨酸计）、糖精钠（以糖精计）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酒类</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蒸馏酒</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白酒</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白酒、白酒（液态）、白酒（原酒）</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酒精度、甲醇</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其他酒</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配制酒</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以蒸馏酒及食用酒精为酒基的配制酒</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酒精度、甲醇</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其他蒸馏酒</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其他蒸馏酒</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酒精度、甲醇</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菌落总数、大肠菌群</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淀粉制品</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粉丝粉条</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铅（以</w:t>
            </w:r>
            <w:r>
              <w:rPr>
                <w:rFonts w:hint="default" w:ascii="Times New Roman" w:hAnsi="Times New Roman" w:eastAsia="宋体" w:cs="Times New Roman"/>
                <w:i w:val="0"/>
                <w:iCs w:val="0"/>
                <w:color w:val="000000"/>
                <w:kern w:val="0"/>
                <w:sz w:val="20"/>
                <w:szCs w:val="20"/>
                <w:u w:val="none"/>
                <w:lang w:val="en-US" w:eastAsia="zh-CN" w:bidi="ar"/>
              </w:rPr>
              <w:t>Pb</w:t>
            </w:r>
            <w:r>
              <w:rPr>
                <w:rFonts w:hint="eastAsia" w:ascii="宋体" w:hAnsi="宋体" w:eastAsia="宋体" w:cs="宋体"/>
                <w:i w:val="0"/>
                <w:iCs w:val="0"/>
                <w:color w:val="000000"/>
                <w:kern w:val="0"/>
                <w:sz w:val="20"/>
                <w:szCs w:val="20"/>
                <w:u w:val="none"/>
                <w:lang w:val="en-US" w:eastAsia="zh-CN" w:bidi="ar"/>
              </w:rPr>
              <w:t>计）、二氧化硫残留量、铝的残留量(干样品,以Al计)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糕点</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苯甲酸及其钠盐（以苯甲酸计）、山梨酸及其钾盐（以山梨酸计）、糖精钠（以糖精计）、菌落总数、大肠菌群</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月饼</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月饼</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糖精钠（以糖精计）、苯甲酸及其钠盐（以苯甲酸计）、山梨酸及其钾盐（以山梨酸计）、菌落总数、大肠菌群</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非发酵性豆制品</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豆干、豆腐、豆皮等</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苯甲酸及其钠盐（以苯甲酸计）、山梨酸及其钾盐（以山梨酸计）、糖精钠（以糖精计）、大肠菌群</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蔬菜制品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蔬菜制品</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酱腌菜</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酱腌菜</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苯甲酸及其钠盐（以苯甲酸计）、山梨酸及其钾盐（以山梨酸计）、糖精钠（以糖精计）、大肠菌群、亚硝酸盐（以NaNO</w:t>
            </w:r>
            <w:r>
              <w:rPr>
                <w:rStyle w:val="20"/>
                <w:lang w:val="en-US" w:eastAsia="zh-CN" w:bidi="ar"/>
              </w:rPr>
              <w:t>2</w:t>
            </w:r>
            <w:r>
              <w:rPr>
                <w:rFonts w:hint="eastAsia" w:ascii="宋体" w:hAnsi="宋体" w:eastAsia="宋体" w:cs="宋体"/>
                <w:i w:val="0"/>
                <w:iCs w:val="0"/>
                <w:color w:val="000000"/>
                <w:kern w:val="0"/>
                <w:sz w:val="18"/>
                <w:szCs w:val="18"/>
                <w:u w:val="none"/>
                <w:lang w:val="en-US" w:eastAsia="zh-CN" w:bidi="ar"/>
              </w:rPr>
              <w:t>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餐饮食品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肉制品（自制）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熟肉制品（自制）</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肉冻、皮冻（自制）</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铬（以Cr计）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米面及其制品铅（自制）</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小麦粉制品（自制）</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发酵面制品（自制）</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苯甲酸及其钠盐（以苯甲酸计）、山梨酸及其钾盐（以山梨酸计）、糖精钠（以糖精计）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油炸面制品（自制）</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较高</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铝的残留量(干样品,以Al计)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bl>
    <w:p>
      <w:pPr>
        <w:keepNext w:val="0"/>
        <w:keepLines w:val="0"/>
        <w:pageBreakBefore w:val="0"/>
        <w:widowControl w:val="0"/>
        <w:kinsoku/>
        <w:wordWrap/>
        <w:overflowPunct/>
        <w:topLinePunct w:val="0"/>
        <w:bidi w:val="0"/>
        <w:spacing w:line="560" w:lineRule="exact"/>
        <w:ind w:firstLine="720" w:firstLineChars="200"/>
        <w:jc w:val="center"/>
        <w:rPr>
          <w:rFonts w:hint="default"/>
          <w:sz w:val="36"/>
          <w:szCs w:val="36"/>
          <w:lang w:val="en-US" w:eastAsia="zh-CN"/>
        </w:rPr>
      </w:pPr>
    </w:p>
    <w:p>
      <w:pPr>
        <w:rPr>
          <w:rFonts w:hint="eastAsia"/>
          <w:sz w:val="36"/>
          <w:szCs w:val="36"/>
          <w:lang w:val="en-US" w:eastAsia="zh-CN"/>
        </w:rPr>
      </w:pPr>
      <w:r>
        <w:rPr>
          <w:rFonts w:hint="eastAsia"/>
          <w:sz w:val="36"/>
          <w:szCs w:val="36"/>
          <w:lang w:val="en-US" w:eastAsia="zh-CN"/>
        </w:rPr>
        <w:br w:type="page"/>
      </w:r>
    </w:p>
    <w:p>
      <w:pPr>
        <w:keepNext w:val="0"/>
        <w:keepLines w:val="0"/>
        <w:pageBreakBefore w:val="0"/>
        <w:widowControl w:val="0"/>
        <w:kinsoku/>
        <w:wordWrap/>
        <w:overflowPunct/>
        <w:topLinePunct w:val="0"/>
        <w:bidi w:val="0"/>
        <w:spacing w:line="560" w:lineRule="exact"/>
        <w:ind w:left="0" w:leftChars="0" w:firstLine="0" w:firstLineChars="0"/>
        <w:jc w:val="left"/>
        <w:rPr>
          <w:rFonts w:hint="eastAsia"/>
          <w:sz w:val="36"/>
          <w:szCs w:val="36"/>
          <w:lang w:val="en-US" w:eastAsia="zh-CN"/>
        </w:rPr>
      </w:pPr>
      <w:r>
        <w:rPr>
          <w:rFonts w:hint="eastAsia"/>
          <w:sz w:val="36"/>
          <w:szCs w:val="36"/>
          <w:lang w:val="en-US" w:eastAsia="zh-CN"/>
        </w:rPr>
        <w:t>附件3：</w:t>
      </w:r>
    </w:p>
    <w:p>
      <w:pPr>
        <w:keepNext w:val="0"/>
        <w:keepLines w:val="0"/>
        <w:pageBreakBefore w:val="0"/>
        <w:widowControl w:val="0"/>
        <w:kinsoku/>
        <w:wordWrap/>
        <w:overflowPunct/>
        <w:topLinePunct w:val="0"/>
        <w:bidi w:val="0"/>
        <w:spacing w:line="560" w:lineRule="exact"/>
        <w:ind w:left="0" w:leftChars="0" w:firstLine="0" w:firstLineChars="0"/>
        <w:jc w:val="center"/>
        <w:rPr>
          <w:rFonts w:hint="eastAsia"/>
          <w:sz w:val="36"/>
          <w:szCs w:val="36"/>
          <w:lang w:val="en-US" w:eastAsia="zh-CN"/>
        </w:rPr>
      </w:pPr>
      <w:r>
        <w:rPr>
          <w:rFonts w:hint="eastAsia" w:ascii="黑体" w:hAnsi="黑体" w:eastAsia="黑体" w:cs="黑体"/>
          <w:b/>
          <w:bCs/>
          <w:w w:val="90"/>
          <w:sz w:val="36"/>
          <w:szCs w:val="36"/>
          <w:lang w:val="en-US" w:eastAsia="zh-CN"/>
        </w:rPr>
        <w:t>2022年望奎县食品农产品抽检任务计划表</w:t>
      </w:r>
    </w:p>
    <w:tbl>
      <w:tblPr>
        <w:tblStyle w:val="5"/>
        <w:tblW w:w="108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1056"/>
        <w:gridCol w:w="1166"/>
        <w:gridCol w:w="1771"/>
        <w:gridCol w:w="2899"/>
        <w:gridCol w:w="2620"/>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blHeade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序列</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食品亚类</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（二级）</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食品品种</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（三级）</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食品细类</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（四级）</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必检项目</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自选项目</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畜禽肉及副产品</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畜肉</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牛肉</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克伦特罗、地塞米松</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氯霉素、沙丁胺醇</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猪肉</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恩诺沙星</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沙丁胺醇、克伦特罗</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羊肉</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磺胺类(总量)、恩诺沙星</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克伦特罗、氯霉素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禽肉</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鸡肉</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恩诺沙星</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甲氧苄啶、磺胺类（总量）、五氯酚酸钠（以五氯酚计）</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2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豆类蔬菜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豇豆</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甲氨基阿维菌素苯甲酸盐、氧乐果、氯氟氰菊酯和高效氯氟氰菊酯、克百威</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甲胺磷、甲拌磷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豆芽</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豆芽</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4-氯苯氧乙酸钠、6-苄基腺嘌呤</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亚硫酸盐（以SO</w:t>
            </w:r>
            <w:r>
              <w:rPr>
                <w:rFonts w:hint="default" w:ascii="Times New Roman" w:hAnsi="Times New Roman" w:eastAsia="宋体" w:cs="Times New Roman"/>
                <w:i w:val="0"/>
                <w:iCs w:val="0"/>
                <w:color w:val="000000"/>
                <w:kern w:val="0"/>
                <w:sz w:val="12"/>
                <w:szCs w:val="12"/>
                <w:u w:val="none"/>
                <w:lang w:val="en-US" w:eastAsia="zh-CN" w:bidi="ar"/>
              </w:rPr>
              <w:t>2</w:t>
            </w:r>
            <w:r>
              <w:rPr>
                <w:rFonts w:hint="eastAsia" w:ascii="宋体" w:hAnsi="宋体" w:eastAsia="宋体" w:cs="宋体"/>
                <w:i w:val="0"/>
                <w:iCs w:val="0"/>
                <w:color w:val="000000"/>
                <w:kern w:val="0"/>
                <w:sz w:val="18"/>
                <w:szCs w:val="18"/>
                <w:u w:val="none"/>
                <w:lang w:val="en-US" w:eastAsia="zh-CN" w:bidi="ar"/>
              </w:rPr>
              <w:t>计）、铅（以Pb计）</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茄果类蔬菜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辣椒</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杀扑磷、噻虫胺、氧乐果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甲胺磷、甲拌磷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茄子</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氧乐果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甲拌磷、甲胺磷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根茎类和薯芋类蔬菜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噻虫胺、吡虫啉、噻虫嗪</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铅（以Pb计）、甲拌磷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2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鳞茎类蔬菜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韭菜</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腐霉利、氧乐果、毒死蜱、克百威、氯氟氰菊酯和高效氯氟氰菊酯、啶虫脒</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甲拌磷、甲胺磷、镉（以Cd计）</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叶菜类蔬菜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普通白菜</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毒死蜱、氧乐果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敌敌畏、甲拌磷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菠菜</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毒死蜱、氧乐果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甲拌磷、腐霉利</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芹菜</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毒死蜱、氧乐果、甲拌磷、氯氟氰菊酯和高效氯氟氰菊酯、</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克百威、敌敌畏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油麦菜</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氧乐果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甲拌磷、甲胺磷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芸薹属蔬菜</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结球甘蓝</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乙酰甲胺磷、氧乐果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甲基异柳磷、甲胺磷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水产品</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淡水产品</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淡水鱼</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恩诺沙星、地西泮</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孔雀石绿、氯霉素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海水产品</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海水虾</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镉（以Cd计）</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恩诺沙星、五氯酚酸钠（以五氯酚计）、孔雀石绿</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海水蟹</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镉（以Cd计）</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呋喃妥因代谢物、五氯酚酸钠（以五氯酚计）</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贝类</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贝类</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镉（以Cd计）、氯霉素</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恩诺沙星、氟苯尼考</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其他水产品</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其他水产品（重点品种：鱿鱼等头足类、牛蛙）</w:t>
            </w:r>
          </w:p>
        </w:tc>
        <w:tc>
          <w:tcPr>
            <w:tcW w:w="2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镉（以Cd计）、恩诺沙星</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呋喃唑酮代谢物、呋喃西林代谢物</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水果类</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热带和亚热带水果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香蕉</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吡虫啉、噻虫嗪、腈苯唑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苯醚甲环唑、甲拌磷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柑橘类水果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柑、橘</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苯醚甲环唑、丙溴磷</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水胺硫磷、甲拌磷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浆果和其他小型水果</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猕猴桃</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氯吡脲</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敌敌畏、氧乐果</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鲜蛋</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鲜蛋</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鸡蛋</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甲硝唑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地美硝唑、呋喃唑酮代谢物</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生干坚果与籽类食品</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生干坚果与籽类食品</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生干籽类（重点品种：芝麻）</w:t>
            </w:r>
          </w:p>
        </w:tc>
        <w:tc>
          <w:tcPr>
            <w:tcW w:w="2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酸价</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镉（以Cd计）、铅（以Pb计）</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bl>
    <w:p>
      <w:pPr>
        <w:keepNext w:val="0"/>
        <w:keepLines w:val="0"/>
        <w:pageBreakBefore w:val="0"/>
        <w:widowControl w:val="0"/>
        <w:kinsoku/>
        <w:wordWrap/>
        <w:overflowPunct/>
        <w:topLinePunct w:val="0"/>
        <w:bidi w:val="0"/>
        <w:spacing w:line="560" w:lineRule="exact"/>
        <w:ind w:left="0" w:leftChars="0" w:firstLine="0" w:firstLineChars="0"/>
        <w:jc w:val="both"/>
        <w:rPr>
          <w:rFonts w:hint="default"/>
          <w:sz w:val="21"/>
          <w:szCs w:val="21"/>
          <w:lang w:val="en-US" w:eastAsia="zh-CN"/>
        </w:rPr>
      </w:pPr>
      <w:r>
        <w:rPr>
          <w:rFonts w:hint="default"/>
          <w:sz w:val="21"/>
          <w:szCs w:val="21"/>
          <w:lang w:val="en-US" w:eastAsia="zh-CN"/>
        </w:rPr>
        <w:t>注：1.部分项目检测记过说明：恩诺沙星检验结果以恩诺沙星与环丙沙星之和计；孔雀石绿检验结果以孔雀石绿与隐色孔雀石绿之和计，以孔雀石绿表示；磺胺类（总量）包含的具体磺胺药物按食品安全监督抽检实施细则（2022年版）中相应食品类别要求检验。</w:t>
      </w:r>
    </w:p>
    <w:p>
      <w:pPr>
        <w:keepNext w:val="0"/>
        <w:keepLines w:val="0"/>
        <w:pageBreakBefore w:val="0"/>
        <w:widowControl w:val="0"/>
        <w:kinsoku/>
        <w:wordWrap/>
        <w:overflowPunct/>
        <w:topLinePunct w:val="0"/>
        <w:bidi w:val="0"/>
        <w:spacing w:line="560" w:lineRule="exact"/>
        <w:ind w:left="0" w:leftChars="0" w:firstLine="0" w:firstLineChars="0"/>
        <w:jc w:val="both"/>
        <w:rPr>
          <w:rFonts w:hint="default"/>
          <w:sz w:val="21"/>
          <w:szCs w:val="21"/>
          <w:lang w:val="en-US" w:eastAsia="zh-CN"/>
        </w:rPr>
      </w:pPr>
      <w:r>
        <w:rPr>
          <w:rFonts w:hint="default"/>
          <w:sz w:val="21"/>
          <w:szCs w:val="21"/>
          <w:lang w:val="en-US" w:eastAsia="zh-CN"/>
        </w:rPr>
        <w:t xml:space="preserve">    2.酸价、过氧化值依据GB 19300判定时，样品前处理按该标准附录B规定。</w:t>
      </w:r>
    </w:p>
    <w:p>
      <w:pPr>
        <w:keepNext w:val="0"/>
        <w:keepLines w:val="0"/>
        <w:pageBreakBefore w:val="0"/>
        <w:widowControl w:val="0"/>
        <w:kinsoku/>
        <w:wordWrap/>
        <w:overflowPunct/>
        <w:topLinePunct w:val="0"/>
        <w:bidi w:val="0"/>
        <w:spacing w:line="560" w:lineRule="exact"/>
        <w:ind w:left="0" w:leftChars="0" w:firstLine="0" w:firstLineChars="0"/>
        <w:jc w:val="both"/>
        <w:rPr>
          <w:rFonts w:hint="default"/>
          <w:sz w:val="21"/>
          <w:szCs w:val="21"/>
          <w:lang w:val="en-US" w:eastAsia="zh-CN"/>
        </w:rPr>
      </w:pPr>
      <w:r>
        <w:rPr>
          <w:rFonts w:hint="default"/>
          <w:sz w:val="21"/>
          <w:szCs w:val="21"/>
          <w:lang w:val="en-US" w:eastAsia="zh-CN"/>
        </w:rPr>
        <w:t xml:space="preserve">    3.可选项目选择原则：</w:t>
      </w:r>
    </w:p>
    <w:p>
      <w:pPr>
        <w:keepNext w:val="0"/>
        <w:keepLines w:val="0"/>
        <w:pageBreakBefore w:val="0"/>
        <w:widowControl w:val="0"/>
        <w:kinsoku/>
        <w:wordWrap/>
        <w:overflowPunct/>
        <w:topLinePunct w:val="0"/>
        <w:bidi w:val="0"/>
        <w:spacing w:line="560" w:lineRule="exact"/>
        <w:ind w:left="0" w:leftChars="0" w:firstLine="0" w:firstLineChars="0"/>
        <w:jc w:val="both"/>
        <w:rPr>
          <w:rFonts w:hint="default"/>
          <w:sz w:val="21"/>
          <w:szCs w:val="21"/>
          <w:lang w:val="en-US" w:eastAsia="zh-CN"/>
        </w:rPr>
      </w:pPr>
      <w:r>
        <w:rPr>
          <w:rFonts w:hint="default"/>
          <w:sz w:val="21"/>
          <w:szCs w:val="21"/>
          <w:lang w:val="en-US" w:eastAsia="zh-CN"/>
        </w:rPr>
        <w:t xml:space="preserve">    1）氧氟沙星等停用药物、产蛋期禁用且无限量的恩诺沙星等药物、以及不在农业农村部公告第250号《食品动物中禁止使用的药品及化合物清单》中的金刚烷胺等药物，在相关限量标准发布实施前不得纳入监督抽检；不在检验虾蟹中呋喃西林代谢物。</w:t>
      </w:r>
    </w:p>
    <w:p>
      <w:pPr>
        <w:keepNext w:val="0"/>
        <w:keepLines w:val="0"/>
        <w:pageBreakBefore w:val="0"/>
        <w:widowControl w:val="0"/>
        <w:kinsoku/>
        <w:wordWrap/>
        <w:overflowPunct/>
        <w:topLinePunct w:val="0"/>
        <w:bidi w:val="0"/>
        <w:spacing w:line="560" w:lineRule="exact"/>
        <w:ind w:left="0" w:leftChars="0" w:firstLine="0" w:firstLineChars="0"/>
        <w:jc w:val="both"/>
        <w:rPr>
          <w:rFonts w:hint="default"/>
          <w:sz w:val="21"/>
          <w:szCs w:val="21"/>
          <w:lang w:val="en-US" w:eastAsia="zh-CN"/>
        </w:rPr>
      </w:pPr>
      <w:r>
        <w:rPr>
          <w:rFonts w:hint="default"/>
          <w:sz w:val="21"/>
          <w:szCs w:val="21"/>
          <w:lang w:val="en-US" w:eastAsia="zh-CN"/>
        </w:rPr>
        <w:t xml:space="preserve">    2）苯醚甲环唑仅限有判定限量的生干籽类样品可选。</w:t>
      </w:r>
    </w:p>
    <w:p>
      <w:pPr>
        <w:keepNext w:val="0"/>
        <w:keepLines w:val="0"/>
        <w:pageBreakBefore w:val="0"/>
        <w:widowControl w:val="0"/>
        <w:kinsoku/>
        <w:wordWrap/>
        <w:overflowPunct/>
        <w:topLinePunct w:val="0"/>
        <w:bidi w:val="0"/>
        <w:spacing w:line="560" w:lineRule="exact"/>
        <w:ind w:left="0" w:leftChars="0" w:firstLine="0" w:firstLineChars="0"/>
        <w:jc w:val="both"/>
        <w:rPr>
          <w:rFonts w:hint="default"/>
          <w:sz w:val="21"/>
          <w:szCs w:val="21"/>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D4911"/>
    <w:multiLevelType w:val="singleLevel"/>
    <w:tmpl w:val="5A7D4911"/>
    <w:lvl w:ilvl="0" w:tentative="0">
      <w:start w:val="1"/>
      <w:numFmt w:val="chineseCounting"/>
      <w:suff w:val="nothing"/>
      <w:lvlText w:val="（%1）"/>
      <w:lvlJc w:val="left"/>
      <w:rPr>
        <w:rFonts w:hint="eastAsia" w:ascii="楷体_GB2312" w:eastAsia="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588F"/>
    <w:rsid w:val="02DC6DF6"/>
    <w:rsid w:val="05916784"/>
    <w:rsid w:val="0C845DA0"/>
    <w:rsid w:val="17A215DF"/>
    <w:rsid w:val="18203CFA"/>
    <w:rsid w:val="18D05F0E"/>
    <w:rsid w:val="1A9D7BBA"/>
    <w:rsid w:val="1D7E4590"/>
    <w:rsid w:val="22B1412F"/>
    <w:rsid w:val="24312A31"/>
    <w:rsid w:val="25FA3A43"/>
    <w:rsid w:val="2BE32807"/>
    <w:rsid w:val="2DF67CC1"/>
    <w:rsid w:val="32AB7D7D"/>
    <w:rsid w:val="35CA6795"/>
    <w:rsid w:val="38523D07"/>
    <w:rsid w:val="3941031D"/>
    <w:rsid w:val="3D203F5C"/>
    <w:rsid w:val="47824220"/>
    <w:rsid w:val="49014554"/>
    <w:rsid w:val="534215EC"/>
    <w:rsid w:val="58627267"/>
    <w:rsid w:val="603D3CB1"/>
    <w:rsid w:val="68C246B5"/>
    <w:rsid w:val="68F14119"/>
    <w:rsid w:val="692514BB"/>
    <w:rsid w:val="72541E5C"/>
    <w:rsid w:val="75964684"/>
    <w:rsid w:val="7B5D3AD3"/>
    <w:rsid w:val="7F1F7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tLeas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paragraph" w:customStyle="1" w:styleId="8">
    <w:name w:val="大写一"/>
    <w:basedOn w:val="1"/>
    <w:qFormat/>
    <w:uiPriority w:val="0"/>
    <w:pPr>
      <w:spacing w:line="600" w:lineRule="exact"/>
      <w:ind w:firstLine="640" w:firstLineChars="200"/>
      <w:outlineLvl w:val="1"/>
    </w:pPr>
    <w:rPr>
      <w:rFonts w:ascii="黑体" w:hAnsi="黑体" w:eastAsia="黑体"/>
    </w:rPr>
  </w:style>
  <w:style w:type="character" w:customStyle="1" w:styleId="9">
    <w:name w:val="font61"/>
    <w:basedOn w:val="6"/>
    <w:qFormat/>
    <w:uiPriority w:val="0"/>
    <w:rPr>
      <w:rFonts w:hint="default" w:ascii="Times New Roman" w:hAnsi="Times New Roman" w:cs="Times New Roman"/>
      <w:b/>
      <w:bCs/>
      <w:color w:val="000000"/>
      <w:sz w:val="20"/>
      <w:szCs w:val="20"/>
      <w:u w:val="none"/>
    </w:rPr>
  </w:style>
  <w:style w:type="character" w:customStyle="1" w:styleId="10">
    <w:name w:val="font41"/>
    <w:basedOn w:val="6"/>
    <w:qFormat/>
    <w:uiPriority w:val="0"/>
    <w:rPr>
      <w:rFonts w:hint="eastAsia" w:ascii="宋体" w:hAnsi="宋体" w:eastAsia="宋体" w:cs="宋体"/>
      <w:b/>
      <w:bCs/>
      <w:color w:val="000000"/>
      <w:sz w:val="20"/>
      <w:szCs w:val="20"/>
      <w:u w:val="none"/>
    </w:rPr>
  </w:style>
  <w:style w:type="character" w:customStyle="1" w:styleId="11">
    <w:name w:val="font31"/>
    <w:basedOn w:val="6"/>
    <w:qFormat/>
    <w:uiPriority w:val="0"/>
    <w:rPr>
      <w:rFonts w:hint="default" w:ascii="Times New Roman" w:hAnsi="Times New Roman" w:cs="Times New Roman"/>
      <w:b/>
      <w:bCs/>
      <w:color w:val="000000"/>
      <w:sz w:val="20"/>
      <w:szCs w:val="20"/>
      <w:u w:val="none"/>
    </w:rPr>
  </w:style>
  <w:style w:type="character" w:customStyle="1" w:styleId="12">
    <w:name w:val="font21"/>
    <w:basedOn w:val="6"/>
    <w:qFormat/>
    <w:uiPriority w:val="0"/>
    <w:rPr>
      <w:rFonts w:hint="eastAsia" w:ascii="宋体" w:hAnsi="宋体" w:eastAsia="宋体" w:cs="宋体"/>
      <w:b/>
      <w:bCs/>
      <w:color w:val="000000"/>
      <w:sz w:val="20"/>
      <w:szCs w:val="20"/>
      <w:u w:val="none"/>
    </w:rPr>
  </w:style>
  <w:style w:type="character" w:customStyle="1" w:styleId="13">
    <w:name w:val="font81"/>
    <w:basedOn w:val="6"/>
    <w:qFormat/>
    <w:uiPriority w:val="0"/>
    <w:rPr>
      <w:rFonts w:hint="default" w:ascii="Times New Roman" w:hAnsi="Times New Roman" w:cs="Times New Roman"/>
      <w:color w:val="000000"/>
      <w:sz w:val="20"/>
      <w:szCs w:val="20"/>
      <w:u w:val="none"/>
    </w:rPr>
  </w:style>
  <w:style w:type="character" w:customStyle="1" w:styleId="14">
    <w:name w:val="font71"/>
    <w:basedOn w:val="6"/>
    <w:qFormat/>
    <w:uiPriority w:val="0"/>
    <w:rPr>
      <w:rFonts w:hint="eastAsia" w:ascii="宋体" w:hAnsi="宋体" w:eastAsia="宋体" w:cs="宋体"/>
      <w:color w:val="000000"/>
      <w:sz w:val="20"/>
      <w:szCs w:val="20"/>
      <w:u w:val="none"/>
    </w:rPr>
  </w:style>
  <w:style w:type="character" w:customStyle="1" w:styleId="15">
    <w:name w:val="font01"/>
    <w:basedOn w:val="6"/>
    <w:qFormat/>
    <w:uiPriority w:val="0"/>
    <w:rPr>
      <w:rFonts w:hint="eastAsia" w:ascii="宋体" w:hAnsi="宋体" w:eastAsia="宋体" w:cs="宋体"/>
      <w:b/>
      <w:bCs/>
      <w:color w:val="000000"/>
      <w:sz w:val="20"/>
      <w:szCs w:val="20"/>
      <w:u w:val="none"/>
    </w:rPr>
  </w:style>
  <w:style w:type="character" w:customStyle="1" w:styleId="16">
    <w:name w:val="font51"/>
    <w:basedOn w:val="6"/>
    <w:qFormat/>
    <w:uiPriority w:val="0"/>
    <w:rPr>
      <w:rFonts w:hint="eastAsia" w:ascii="宋体" w:hAnsi="宋体" w:eastAsia="宋体" w:cs="宋体"/>
      <w:color w:val="000000"/>
      <w:sz w:val="20"/>
      <w:szCs w:val="20"/>
      <w:u w:val="none"/>
    </w:rPr>
  </w:style>
  <w:style w:type="character" w:customStyle="1" w:styleId="17">
    <w:name w:val="font91"/>
    <w:basedOn w:val="6"/>
    <w:qFormat/>
    <w:uiPriority w:val="0"/>
    <w:rPr>
      <w:rFonts w:hint="default" w:ascii="Times New Roman" w:hAnsi="Times New Roman" w:cs="Times New Roman"/>
      <w:color w:val="000000"/>
      <w:sz w:val="20"/>
      <w:szCs w:val="20"/>
      <w:u w:val="none"/>
    </w:rPr>
  </w:style>
  <w:style w:type="character" w:customStyle="1" w:styleId="18">
    <w:name w:val="font101"/>
    <w:basedOn w:val="6"/>
    <w:qFormat/>
    <w:uiPriority w:val="0"/>
    <w:rPr>
      <w:rFonts w:hint="eastAsia" w:ascii="宋体" w:hAnsi="宋体" w:eastAsia="宋体" w:cs="宋体"/>
      <w:color w:val="000000"/>
      <w:sz w:val="12"/>
      <w:szCs w:val="12"/>
      <w:u w:val="none"/>
    </w:rPr>
  </w:style>
  <w:style w:type="character" w:customStyle="1" w:styleId="19">
    <w:name w:val="font11"/>
    <w:basedOn w:val="6"/>
    <w:qFormat/>
    <w:uiPriority w:val="0"/>
    <w:rPr>
      <w:rFonts w:hint="default" w:ascii="Times New Roman" w:hAnsi="Times New Roman" w:cs="Times New Roman"/>
      <w:b/>
      <w:bCs/>
      <w:color w:val="000000"/>
      <w:sz w:val="20"/>
      <w:szCs w:val="20"/>
      <w:u w:val="none"/>
    </w:rPr>
  </w:style>
  <w:style w:type="character" w:customStyle="1" w:styleId="20">
    <w:name w:val="font111"/>
    <w:basedOn w:val="6"/>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2022-02-21T08:36:00Z</dcterms:created>
  <dc:creator>Administrator</dc:creator>
  <cp:lastModifiedBy>Administrator</cp:lastModifiedBy>
  <cp:lastPrinted>2022-03-01T02:16:00Z</cp:lastPrinted>
  <dcterms:modified xsi:type="dcterms:W3CDTF">2022-03-09T01:47:41Z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961DDB557587455B896D0AB74E616E79</vt:lpwstr>
  </property>
</Properties>
</file>