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0" distR="0">
            <wp:extent cx="1609725" cy="4572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1609725" cy="457200"/>
                    </a:xfrm>
                    <a:prstGeom prst="rect">
                      <a:avLst/>
                    </a:prstGeom>
                    <a:noFill/>
                    <a:ln w="9525">
                      <a:noFill/>
                      <a:miter lim="800000"/>
                      <a:headEnd/>
                      <a:tailEnd/>
                    </a:ln>
                  </pic:spPr>
                </pic:pic>
              </a:graphicData>
            </a:graphic>
          </wp:inline>
        </w:drawing>
      </w:r>
    </w:p>
    <w:p>
      <w:pPr>
        <w:rPr>
          <w:sz w:val="24"/>
        </w:rPr>
      </w:pPr>
      <w:r>
        <w:rPr>
          <w:rFonts w:hint="eastAsia"/>
        </w:rPr>
        <w:t xml:space="preserve">                               </w:t>
      </w:r>
      <w:r>
        <w:rPr>
          <w:rFonts w:hint="eastAsia" w:ascii="Cambria" w:hAnsi="Cambria"/>
          <w:caps/>
          <w:sz w:val="24"/>
        </w:rPr>
        <w:t>安徽丰原医药营销有限公司物流项目运输招标书</w:t>
      </w:r>
    </w:p>
    <w:tbl>
      <w:tblPr>
        <w:tblStyle w:val="19"/>
        <w:tblpPr w:leftFromText="187" w:rightFromText="187" w:horzAnchor="margin" w:tblpXSpec="center" w:tblpYSpec="bottom"/>
        <w:tblW w:w="8522" w:type="dxa"/>
        <w:tblInd w:w="0" w:type="dxa"/>
        <w:tblLayout w:type="fixed"/>
        <w:tblCellMar>
          <w:top w:w="0" w:type="dxa"/>
          <w:left w:w="108" w:type="dxa"/>
          <w:bottom w:w="0" w:type="dxa"/>
          <w:right w:w="108" w:type="dxa"/>
        </w:tblCellMar>
      </w:tblPr>
      <w:tblGrid>
        <w:gridCol w:w="8522"/>
      </w:tblGrid>
      <w:tr>
        <w:tc>
          <w:tcPr>
            <w:tcW w:w="8522" w:type="dxa"/>
          </w:tcPr>
          <w:p>
            <w:pPr>
              <w:pStyle w:val="43"/>
              <w:jc w:val="center"/>
            </w:pPr>
            <w:r>
              <w:rPr>
                <w:rFonts w:hint="eastAsia"/>
              </w:rPr>
              <w:t>【安徽丰原医药营销有限公司</w:t>
            </w:r>
            <w:r>
              <w:rPr>
                <w:rFonts w:hint="eastAsia"/>
                <w:lang w:val="zh-CN"/>
              </w:rPr>
              <w:t>依据管理需求，针对物流项目发出运输招标书】</w:t>
            </w:r>
          </w:p>
        </w:tc>
      </w:tr>
    </w:tbl>
    <w:tbl>
      <w:tblPr>
        <w:tblStyle w:val="45"/>
        <w:tblpPr w:leftFromText="180" w:rightFromText="180" w:vertAnchor="page" w:horzAnchor="margin" w:tblpY="2791"/>
        <w:tblW w:w="85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8522" w:type="dxa"/>
            <w:tcBorders>
              <w:top w:val="single" w:color="000000" w:themeColor="text1" w:sz="8" w:space="0"/>
              <w:left w:val="nil"/>
              <w:bottom w:val="single" w:color="000000" w:themeColor="text1" w:sz="8" w:space="0"/>
              <w:right w:val="nil"/>
              <w:insideH w:val="single" w:sz="8" w:space="0"/>
              <w:insideV w:val="nil"/>
            </w:tcBorders>
          </w:tcPr>
          <w:p>
            <w:pPr>
              <w:pStyle w:val="43"/>
              <w:spacing w:before="0" w:after="0" w:line="240" w:lineRule="auto"/>
              <w:jc w:val="center"/>
              <w:rPr>
                <w:rFonts w:ascii="Cambria" w:hAnsi="Cambria"/>
                <w:b/>
                <w:bCs w:val="0"/>
                <w:caps/>
                <w:color w:val="000000" w:themeColor="text1" w:themeShade="BF"/>
                <w:sz w:val="48"/>
                <w:szCs w:val="48"/>
              </w:rPr>
            </w:pPr>
          </w:p>
          <w:p>
            <w:pPr>
              <w:pStyle w:val="43"/>
              <w:spacing w:before="0" w:after="0" w:line="240" w:lineRule="auto"/>
              <w:jc w:val="center"/>
              <w:rPr>
                <w:rFonts w:ascii="Cambria" w:hAnsi="Cambria"/>
                <w:b w:val="0"/>
                <w:bCs w:val="0"/>
                <w:caps/>
                <w:color w:val="000000" w:themeColor="text1" w:themeShade="BF"/>
                <w:sz w:val="44"/>
                <w:szCs w:val="44"/>
              </w:rPr>
            </w:pPr>
            <w:r>
              <w:rPr>
                <w:rFonts w:hint="eastAsia" w:ascii="Cambria" w:hAnsi="Cambria"/>
                <w:b/>
                <w:bCs/>
                <w:caps/>
                <w:color w:val="000000" w:themeColor="text1" w:themeShade="BF"/>
                <w:sz w:val="44"/>
                <w:szCs w:val="44"/>
              </w:rPr>
              <w:t>安徽丰原药业股份有限公司</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8522" w:type="dxa"/>
            <w:tcBorders>
              <w:left w:val="nil"/>
              <w:right w:val="nil"/>
            </w:tcBorders>
            <w:shd w:val="clear" w:color="auto" w:fill="BFBFBF" w:themeFill="text1" w:themeFillTint="3F"/>
          </w:tcPr>
          <w:p>
            <w:pPr>
              <w:pStyle w:val="43"/>
              <w:jc w:val="center"/>
              <w:rPr>
                <w:rFonts w:ascii="Cambria" w:hAnsi="Cambria"/>
                <w:b w:val="0"/>
                <w:bCs w:val="0"/>
                <w:color w:val="000000" w:themeColor="text1" w:themeShade="BF"/>
                <w:sz w:val="80"/>
                <w:szCs w:val="80"/>
              </w:rPr>
            </w:pPr>
            <w:r>
              <w:rPr>
                <w:rFonts w:hint="eastAsia" w:ascii="Cambria" w:hAnsi="Cambria"/>
                <w:b/>
                <w:bCs/>
                <w:color w:val="000000" w:themeColor="text1" w:themeShade="BF"/>
                <w:sz w:val="80"/>
                <w:szCs w:val="80"/>
              </w:rPr>
              <w:t>物流项目运输招标书</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22" w:type="dxa"/>
          </w:tcPr>
          <w:p>
            <w:pPr>
              <w:pStyle w:val="43"/>
              <w:jc w:val="center"/>
              <w:rPr>
                <w:rFonts w:ascii="Cambria" w:hAnsi="Cambria"/>
                <w:b w:val="0"/>
                <w:bCs w:val="0"/>
                <w:color w:val="000000" w:themeColor="text1" w:themeShade="BF"/>
                <w:sz w:val="44"/>
                <w:szCs w:val="44"/>
              </w:rPr>
            </w:pPr>
            <w:r>
              <w:rPr>
                <w:rFonts w:hint="eastAsia" w:ascii="Cambria" w:hAnsi="Cambria"/>
                <w:b/>
                <w:bCs/>
                <w:color w:val="000000" w:themeColor="text1" w:themeShade="BF"/>
                <w:sz w:val="44"/>
                <w:szCs w:val="44"/>
              </w:rPr>
              <w:t>干线运输业务包</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22" w:type="dxa"/>
            <w:tcBorders>
              <w:left w:val="nil"/>
              <w:right w:val="nil"/>
            </w:tcBorders>
            <w:shd w:val="clear" w:color="auto" w:fill="BFBFBF" w:themeFill="text1" w:themeFillTint="3F"/>
          </w:tcPr>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p>
            <w:pPr>
              <w:pStyle w:val="43"/>
              <w:jc w:val="center"/>
              <w:rPr>
                <w:b w:val="0"/>
                <w:bCs w:val="0"/>
                <w:color w:val="000000" w:themeColor="text1" w:themeShade="BF"/>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22" w:type="dxa"/>
          </w:tcPr>
          <w:p>
            <w:pPr>
              <w:pStyle w:val="43"/>
              <w:jc w:val="center"/>
              <w:rPr>
                <w:b/>
                <w:bCs/>
                <w:color w:val="000000" w:themeColor="text1" w:themeShade="BF"/>
              </w:rPr>
            </w:pPr>
            <w:r>
              <w:rPr>
                <w:rFonts w:hint="eastAsia"/>
                <w:b/>
                <w:bCs/>
                <w:color w:val="000000" w:themeColor="text1" w:themeShade="BF"/>
              </w:rPr>
              <w:t>安徽丰原医药营销有限公司物流分公司</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522" w:type="dxa"/>
            <w:tcBorders>
              <w:left w:val="nil"/>
              <w:right w:val="nil"/>
            </w:tcBorders>
            <w:shd w:val="clear" w:color="auto" w:fill="BFBFBF" w:themeFill="text1" w:themeFillTint="3F"/>
          </w:tcPr>
          <w:p>
            <w:pPr>
              <w:pStyle w:val="43"/>
              <w:jc w:val="center"/>
              <w:rPr>
                <w:b/>
                <w:bCs/>
                <w:color w:val="000000" w:themeColor="text1" w:themeShade="BF"/>
              </w:rPr>
            </w:pPr>
            <w:r>
              <w:rPr>
                <w:rFonts w:hint="eastAsia"/>
                <w:b/>
                <w:bCs/>
                <w:color w:val="000000" w:themeColor="text1" w:themeShade="BF"/>
              </w:rPr>
              <w:t>20</w:t>
            </w:r>
            <w:r>
              <w:rPr>
                <w:b/>
                <w:bCs/>
                <w:color w:val="000000" w:themeColor="text1" w:themeShade="BF"/>
              </w:rPr>
              <w:t>2</w:t>
            </w:r>
            <w:r>
              <w:rPr>
                <w:rFonts w:hint="eastAsia"/>
                <w:b/>
                <w:bCs/>
                <w:color w:val="000000" w:themeColor="text1" w:themeShade="BF"/>
                <w:lang w:val="en-US" w:eastAsia="zh-CN"/>
              </w:rPr>
              <w:t>3</w:t>
            </w:r>
            <w:r>
              <w:rPr>
                <w:rFonts w:hint="eastAsia"/>
                <w:b/>
                <w:bCs/>
                <w:color w:val="000000" w:themeColor="text1" w:themeShade="BF"/>
              </w:rPr>
              <w:t>年</w:t>
            </w:r>
            <w:r>
              <w:rPr>
                <w:rFonts w:hint="eastAsia"/>
                <w:b/>
                <w:bCs/>
                <w:color w:val="000000" w:themeColor="text1" w:themeShade="BF"/>
                <w:lang w:val="en-US" w:eastAsia="zh-CN"/>
              </w:rPr>
              <w:t>6</w:t>
            </w:r>
            <w:r>
              <w:rPr>
                <w:rFonts w:hint="eastAsia"/>
                <w:b/>
                <w:bCs/>
                <w:color w:val="000000" w:themeColor="text1" w:themeShade="BF"/>
              </w:rPr>
              <w:t>月</w:t>
            </w:r>
            <w:r>
              <w:rPr>
                <w:rFonts w:hint="eastAsia"/>
                <w:b/>
                <w:bCs/>
                <w:color w:val="000000" w:themeColor="text1" w:themeShade="BF"/>
                <w:lang w:val="en-US" w:eastAsia="zh-CN"/>
              </w:rPr>
              <w:t>15</w:t>
            </w:r>
            <w:r>
              <w:rPr>
                <w:rFonts w:hint="eastAsia"/>
                <w:b/>
                <w:bCs/>
                <w:color w:val="000000" w:themeColor="text1" w:themeShade="BF"/>
              </w:rPr>
              <w:t>日</w:t>
            </w:r>
          </w:p>
        </w:tc>
      </w:tr>
    </w:tbl>
    <w:p/>
    <w:p/>
    <w:p/>
    <w:p/>
    <w:p/>
    <w:p/>
    <w:p>
      <w:pPr>
        <w:spacing w:line="360" w:lineRule="auto"/>
        <w:jc w:val="center"/>
        <w:rPr>
          <w:rFonts w:ascii="宋体" w:hAnsi="宋体"/>
          <w:b/>
          <w:bCs/>
          <w:sz w:val="24"/>
        </w:rPr>
      </w:pPr>
    </w:p>
    <w:p>
      <w:pPr>
        <w:spacing w:line="360" w:lineRule="auto"/>
        <w:jc w:val="center"/>
        <w:rPr>
          <w:rFonts w:ascii="宋体" w:hAnsi="宋体"/>
          <w:b/>
          <w:bCs/>
          <w:sz w:val="24"/>
        </w:rPr>
      </w:pPr>
      <w:r>
        <w:rPr>
          <w:rFonts w:hint="eastAsia" w:ascii="宋体" w:hAnsi="宋体"/>
          <w:b/>
          <w:bCs/>
          <w:sz w:val="24"/>
        </w:rPr>
        <w:t>运输招标书说明</w:t>
      </w:r>
    </w:p>
    <w:p>
      <w:pPr>
        <w:spacing w:line="360" w:lineRule="auto"/>
        <w:ind w:left="-181" w:leftChars="-86" w:right="-334" w:rightChars="-159" w:firstLine="480" w:firstLineChars="200"/>
        <w:rPr>
          <w:rFonts w:ascii="宋体" w:hAnsi="宋体"/>
          <w:sz w:val="24"/>
        </w:rPr>
      </w:pPr>
      <w:r>
        <w:rPr>
          <w:rFonts w:hint="eastAsia" w:ascii="宋体" w:hAnsi="宋体"/>
          <w:sz w:val="24"/>
        </w:rPr>
        <w:t>参与人应该认真阅读运输招标书中所有的事项、格式、条款和规范等要求。如果没有按照运输招标书要求提交全部资料，该参与人提交的运输招标书文件有可能被拒绝，其风险应由参与人自行承担。运输招标书内容包括:</w:t>
      </w:r>
    </w:p>
    <w:p>
      <w:pPr>
        <w:spacing w:line="360" w:lineRule="auto"/>
        <w:ind w:left="-181" w:leftChars="-86" w:right="-334" w:rightChars="-159" w:firstLine="480" w:firstLineChars="200"/>
        <w:rPr>
          <w:rFonts w:ascii="宋体" w:hAnsi="宋体"/>
          <w:sz w:val="24"/>
        </w:rPr>
      </w:pPr>
      <w:r>
        <w:rPr>
          <w:rFonts w:hint="eastAsia" w:ascii="宋体" w:hAnsi="宋体"/>
          <w:sz w:val="24"/>
        </w:rPr>
        <w:t>（1）运输招标书须知</w:t>
      </w:r>
    </w:p>
    <w:p>
      <w:pPr>
        <w:spacing w:line="360" w:lineRule="auto"/>
        <w:ind w:left="299" w:right="-334" w:rightChars="-159"/>
        <w:rPr>
          <w:rFonts w:ascii="宋体" w:hAnsi="宋体"/>
          <w:sz w:val="24"/>
        </w:rPr>
      </w:pPr>
      <w:r>
        <w:rPr>
          <w:rFonts w:hint="eastAsia" w:ascii="宋体" w:hAnsi="宋体"/>
          <w:sz w:val="24"/>
        </w:rPr>
        <w:t>（2）项目要求及技术规范</w:t>
      </w:r>
    </w:p>
    <w:p>
      <w:pPr>
        <w:spacing w:line="360" w:lineRule="auto"/>
        <w:ind w:left="-181" w:leftChars="-86" w:firstLine="480" w:firstLineChars="200"/>
        <w:rPr>
          <w:rFonts w:ascii="宋体" w:hAnsi="宋体"/>
          <w:sz w:val="24"/>
        </w:rPr>
      </w:pPr>
      <w:r>
        <w:rPr>
          <w:rFonts w:hint="eastAsia" w:ascii="宋体" w:hAnsi="宋体"/>
          <w:sz w:val="24"/>
        </w:rPr>
        <w:t>以下资料的书面版（盖公司章有效）及电子版（U盘），需在报价截止时限前密封寄回（以收到时间为准）：</w:t>
      </w:r>
    </w:p>
    <w:p>
      <w:pPr>
        <w:spacing w:line="360" w:lineRule="auto"/>
        <w:ind w:left="-181" w:leftChars="-86" w:firstLine="480" w:firstLineChars="200"/>
        <w:rPr>
          <w:rFonts w:ascii="宋体" w:hAnsi="宋体"/>
          <w:sz w:val="24"/>
        </w:rPr>
      </w:pPr>
      <w:r>
        <w:rPr>
          <w:rFonts w:hint="eastAsia" w:ascii="宋体" w:hAnsi="宋体"/>
          <w:sz w:val="24"/>
        </w:rPr>
        <w:t>（1）签署后的《保密协议》</w:t>
      </w:r>
    </w:p>
    <w:p>
      <w:pPr>
        <w:spacing w:line="360" w:lineRule="auto"/>
        <w:ind w:left="-181" w:leftChars="-86" w:firstLine="480" w:firstLineChars="200"/>
        <w:rPr>
          <w:rFonts w:ascii="宋体" w:hAnsi="宋体"/>
          <w:sz w:val="24"/>
        </w:rPr>
      </w:pPr>
      <w:r>
        <w:rPr>
          <w:rFonts w:hint="eastAsia" w:ascii="宋体" w:hAnsi="宋体"/>
          <w:sz w:val="24"/>
        </w:rPr>
        <w:t>（2）运输招标书确认函</w:t>
      </w:r>
    </w:p>
    <w:p>
      <w:pPr>
        <w:spacing w:line="360" w:lineRule="auto"/>
        <w:ind w:left="-181" w:leftChars="-86" w:firstLine="480" w:firstLineChars="200"/>
        <w:rPr>
          <w:rFonts w:ascii="宋体" w:hAnsi="宋体"/>
          <w:sz w:val="24"/>
        </w:rPr>
      </w:pPr>
      <w:r>
        <w:rPr>
          <w:rFonts w:hint="eastAsia" w:ascii="宋体" w:hAnsi="宋体"/>
          <w:sz w:val="24"/>
        </w:rPr>
        <w:t>（3）授权书</w:t>
      </w:r>
    </w:p>
    <w:p>
      <w:pPr>
        <w:spacing w:line="360" w:lineRule="auto"/>
        <w:ind w:left="-181" w:leftChars="-86" w:firstLine="480" w:firstLineChars="200"/>
        <w:rPr>
          <w:rFonts w:ascii="宋体" w:hAnsi="宋体"/>
          <w:sz w:val="24"/>
        </w:rPr>
      </w:pPr>
      <w:r>
        <w:rPr>
          <w:rFonts w:hint="eastAsia" w:ascii="宋体" w:hAnsi="宋体"/>
          <w:sz w:val="24"/>
        </w:rPr>
        <w:t>（4）企业资质文件及物流相关管理制度</w:t>
      </w:r>
    </w:p>
    <w:p>
      <w:pPr>
        <w:spacing w:line="360" w:lineRule="auto"/>
        <w:ind w:left="-181" w:leftChars="-86" w:firstLine="480" w:firstLineChars="200"/>
        <w:rPr>
          <w:rFonts w:ascii="宋体" w:hAnsi="宋体"/>
          <w:sz w:val="24"/>
        </w:rPr>
      </w:pPr>
      <w:r>
        <w:rPr>
          <w:rFonts w:hint="eastAsia" w:ascii="宋体" w:hAnsi="宋体"/>
          <w:sz w:val="24"/>
        </w:rPr>
        <w:t>（5）物流商基本数据采集表</w:t>
      </w:r>
    </w:p>
    <w:p>
      <w:pPr>
        <w:spacing w:line="360" w:lineRule="auto"/>
        <w:ind w:left="-181" w:leftChars="-86" w:firstLine="480" w:firstLineChars="200"/>
        <w:rPr>
          <w:rFonts w:ascii="宋体" w:hAnsi="宋体"/>
          <w:sz w:val="24"/>
        </w:rPr>
      </w:pPr>
      <w:r>
        <w:rPr>
          <w:rFonts w:hint="eastAsia" w:ascii="宋体" w:hAnsi="宋体"/>
          <w:sz w:val="24"/>
        </w:rPr>
        <w:t>（6）干线运输报价表</w:t>
      </w:r>
    </w:p>
    <w:p>
      <w:pPr>
        <w:spacing w:line="360" w:lineRule="auto"/>
        <w:ind w:left="-181" w:leftChars="-86" w:firstLine="480" w:firstLineChars="200"/>
        <w:rPr>
          <w:rFonts w:ascii="宋体" w:hAnsi="宋体"/>
          <w:sz w:val="24"/>
        </w:rPr>
      </w:pPr>
      <w:r>
        <w:rPr>
          <w:rFonts w:hint="eastAsia" w:ascii="宋体" w:hAnsi="宋体"/>
          <w:sz w:val="24"/>
        </w:rPr>
        <w:t>（7）服务运作方案书</w:t>
      </w:r>
    </w:p>
    <w:p>
      <w:pPr>
        <w:bidi w:val="0"/>
        <w:rPr>
          <w:rFonts w:ascii="宋体" w:hAnsi="宋体"/>
          <w:b/>
          <w:bCs/>
          <w:sz w:val="32"/>
          <w:szCs w:val="32"/>
        </w:rPr>
      </w:pPr>
      <w:r>
        <w:rPr>
          <w:b/>
          <w:bCs/>
          <w:sz w:val="48"/>
          <w:szCs w:val="48"/>
        </w:rPr>
        <w:br w:type="page"/>
      </w:r>
      <w:r>
        <w:rPr>
          <w:rFonts w:hint="eastAsia" w:ascii="宋体" w:hAnsi="宋体"/>
          <w:b/>
          <w:bCs/>
          <w:sz w:val="32"/>
          <w:szCs w:val="32"/>
        </w:rPr>
        <w:t>一、</w:t>
      </w:r>
      <w:r>
        <w:rPr>
          <w:rFonts w:hint="eastAsia" w:ascii="宋体" w:hAnsi="宋体"/>
          <w:b/>
          <w:sz w:val="32"/>
          <w:szCs w:val="32"/>
        </w:rPr>
        <w:t>运输招标书</w:t>
      </w:r>
      <w:r>
        <w:rPr>
          <w:rFonts w:hint="eastAsia" w:ascii="宋体" w:hAnsi="宋体"/>
          <w:b/>
          <w:bCs/>
          <w:sz w:val="32"/>
          <w:szCs w:val="32"/>
        </w:rPr>
        <w:t xml:space="preserve">须知 </w:t>
      </w:r>
    </w:p>
    <w:p>
      <w:pPr>
        <w:spacing w:line="360" w:lineRule="auto"/>
        <w:ind w:left="-178" w:leftChars="-85" w:firstLine="482" w:firstLineChars="200"/>
        <w:rPr>
          <w:rFonts w:ascii="宋体" w:hAnsi="宋体"/>
          <w:b/>
          <w:sz w:val="24"/>
        </w:rPr>
      </w:pPr>
      <w:r>
        <w:rPr>
          <w:rFonts w:hint="eastAsia" w:ascii="宋体" w:hAnsi="宋体"/>
          <w:b/>
          <w:sz w:val="24"/>
        </w:rPr>
        <w:t>（一）总则</w:t>
      </w:r>
    </w:p>
    <w:p>
      <w:pPr>
        <w:spacing w:line="360" w:lineRule="auto"/>
        <w:ind w:left="-178" w:leftChars="-85" w:firstLine="482" w:firstLineChars="200"/>
        <w:rPr>
          <w:rFonts w:ascii="宋体" w:hAnsi="宋体"/>
          <w:b/>
          <w:sz w:val="24"/>
        </w:rPr>
      </w:pPr>
      <w:r>
        <w:rPr>
          <w:rFonts w:hint="eastAsia" w:ascii="宋体" w:hAnsi="宋体"/>
          <w:b/>
          <w:sz w:val="24"/>
        </w:rPr>
        <w:t>1.</w:t>
      </w:r>
      <w:r>
        <w:rPr>
          <w:rFonts w:hint="eastAsia"/>
        </w:rPr>
        <w:t xml:space="preserve"> </w:t>
      </w:r>
      <w:r>
        <w:rPr>
          <w:rFonts w:hint="eastAsia" w:ascii="宋体" w:hAnsi="宋体"/>
          <w:b/>
          <w:sz w:val="24"/>
        </w:rPr>
        <w:t>运输招标书简介</w:t>
      </w:r>
    </w:p>
    <w:p>
      <w:pPr>
        <w:spacing w:line="360" w:lineRule="auto"/>
        <w:ind w:left="-178" w:leftChars="-85" w:firstLine="480" w:firstLineChars="200"/>
        <w:rPr>
          <w:rFonts w:ascii="宋体" w:hAnsi="宋体"/>
          <w:sz w:val="24"/>
        </w:rPr>
      </w:pPr>
      <w:r>
        <w:rPr>
          <w:rFonts w:hint="eastAsia" w:ascii="宋体" w:hAnsi="宋体"/>
          <w:sz w:val="24"/>
        </w:rPr>
        <w:t>（1）项目名称：安徽丰原医药营销有限公司物流项目运输招标书</w:t>
      </w:r>
    </w:p>
    <w:p>
      <w:pPr>
        <w:spacing w:line="360" w:lineRule="auto"/>
        <w:ind w:left="-178" w:leftChars="-85" w:firstLine="480" w:firstLineChars="200"/>
        <w:rPr>
          <w:rFonts w:ascii="宋体" w:hAnsi="宋体"/>
          <w:sz w:val="24"/>
        </w:rPr>
      </w:pPr>
      <w:r>
        <w:rPr>
          <w:rFonts w:hint="eastAsia" w:ascii="宋体" w:hAnsi="宋体"/>
          <w:sz w:val="24"/>
        </w:rPr>
        <w:t>（2）合格参与人</w:t>
      </w:r>
    </w:p>
    <w:p>
      <w:pPr>
        <w:spacing w:line="360" w:lineRule="auto"/>
        <w:ind w:left="-178" w:leftChars="-85" w:firstLine="480" w:firstLineChars="200"/>
        <w:rPr>
          <w:rFonts w:ascii="宋体" w:hAnsi="宋体"/>
          <w:sz w:val="24"/>
        </w:rPr>
      </w:pPr>
      <w:r>
        <w:rPr>
          <w:rFonts w:hint="eastAsia" w:ascii="宋体" w:hAnsi="宋体"/>
          <w:sz w:val="24"/>
        </w:rPr>
        <w:t>A：注册资本50（含）万元以上且年物流营业额在500（含）万元以上的物流供应商。或</w:t>
      </w:r>
    </w:p>
    <w:p>
      <w:pPr>
        <w:spacing w:line="360" w:lineRule="auto"/>
        <w:ind w:left="-178" w:leftChars="-85" w:firstLine="480" w:firstLineChars="200"/>
        <w:rPr>
          <w:rFonts w:ascii="宋体" w:hAnsi="宋体"/>
          <w:sz w:val="24"/>
        </w:rPr>
      </w:pPr>
      <w:r>
        <w:rPr>
          <w:rFonts w:hint="eastAsia" w:ascii="宋体" w:hAnsi="宋体"/>
          <w:sz w:val="24"/>
        </w:rPr>
        <w:t>B：现有合作供应商，位列各合作区2015-2016年度实际表现综合评估优秀的供应商。</w:t>
      </w:r>
    </w:p>
    <w:p>
      <w:pPr>
        <w:spacing w:line="360" w:lineRule="auto"/>
        <w:ind w:left="-178" w:leftChars="-85" w:firstLine="482" w:firstLineChars="200"/>
        <w:rPr>
          <w:rFonts w:ascii="宋体" w:hAnsi="宋体"/>
          <w:b/>
          <w:sz w:val="24"/>
        </w:rPr>
      </w:pPr>
      <w:r>
        <w:rPr>
          <w:rFonts w:hint="eastAsia" w:ascii="宋体" w:hAnsi="宋体"/>
          <w:b/>
          <w:sz w:val="24"/>
        </w:rPr>
        <w:t>2.参与人应自行承担所有与编制、</w:t>
      </w:r>
      <w:bookmarkStart w:id="10" w:name="_GoBack"/>
      <w:bookmarkEnd w:id="10"/>
      <w:r>
        <w:rPr>
          <w:rFonts w:hint="eastAsia" w:ascii="宋体" w:hAnsi="宋体"/>
          <w:b/>
          <w:sz w:val="24"/>
        </w:rPr>
        <w:t>提交运输招标书文件有关的费用。</w:t>
      </w:r>
    </w:p>
    <w:p>
      <w:pPr>
        <w:spacing w:line="360" w:lineRule="auto"/>
        <w:ind w:left="-178" w:leftChars="-85" w:firstLine="482" w:firstLineChars="200"/>
        <w:rPr>
          <w:rFonts w:ascii="宋体" w:hAnsi="宋体"/>
          <w:b/>
          <w:sz w:val="24"/>
        </w:rPr>
      </w:pPr>
    </w:p>
    <w:p>
      <w:pPr>
        <w:spacing w:line="360" w:lineRule="auto"/>
        <w:ind w:left="-178" w:leftChars="-85" w:firstLine="482" w:firstLineChars="200"/>
        <w:rPr>
          <w:rFonts w:ascii="宋体" w:hAnsi="宋体"/>
          <w:b/>
          <w:sz w:val="24"/>
        </w:rPr>
      </w:pPr>
      <w:r>
        <w:rPr>
          <w:rFonts w:hint="eastAsia" w:ascii="宋体" w:hAnsi="宋体"/>
          <w:b/>
          <w:sz w:val="24"/>
        </w:rPr>
        <w:t>（二）项目说明</w:t>
      </w:r>
    </w:p>
    <w:p>
      <w:pPr>
        <w:spacing w:line="360" w:lineRule="auto"/>
        <w:ind w:left="-178" w:leftChars="-85" w:firstLine="482" w:firstLineChars="200"/>
        <w:rPr>
          <w:rFonts w:ascii="宋体" w:hAnsi="宋体"/>
          <w:sz w:val="24"/>
        </w:rPr>
      </w:pPr>
      <w:r>
        <w:rPr>
          <w:rFonts w:hint="eastAsia" w:ascii="宋体" w:hAnsi="宋体"/>
          <w:b/>
          <w:sz w:val="24"/>
        </w:rPr>
        <w:t>干线运输线路：</w:t>
      </w:r>
      <w:r>
        <w:rPr>
          <w:rFonts w:hint="eastAsia" w:ascii="宋体" w:hAnsi="宋体"/>
          <w:sz w:val="24"/>
        </w:rPr>
        <w:t>见运输招标书附表二</w:t>
      </w:r>
    </w:p>
    <w:p>
      <w:pPr>
        <w:spacing w:line="360" w:lineRule="auto"/>
        <w:ind w:left="-178" w:leftChars="-85" w:firstLine="482" w:firstLineChars="200"/>
        <w:rPr>
          <w:rFonts w:ascii="宋体" w:hAnsi="宋体"/>
          <w:sz w:val="24"/>
        </w:rPr>
      </w:pPr>
      <w:r>
        <w:rPr>
          <w:rFonts w:hint="eastAsia" w:ascii="宋体" w:hAnsi="宋体"/>
          <w:b/>
          <w:sz w:val="24"/>
        </w:rPr>
        <w:t>干线运输方式：</w:t>
      </w:r>
      <w:r>
        <w:rPr>
          <w:rFonts w:hint="eastAsia" w:ascii="宋体" w:hAnsi="宋体"/>
          <w:sz w:val="24"/>
        </w:rPr>
        <w:t>公路运输</w:t>
      </w:r>
    </w:p>
    <w:p>
      <w:pPr>
        <w:spacing w:line="360" w:lineRule="auto"/>
        <w:ind w:left="-178" w:leftChars="-85" w:firstLine="482" w:firstLineChars="200"/>
        <w:rPr>
          <w:rFonts w:ascii="宋体" w:hAnsi="宋体"/>
          <w:b/>
          <w:sz w:val="24"/>
        </w:rPr>
      </w:pPr>
    </w:p>
    <w:p>
      <w:pPr>
        <w:spacing w:line="360" w:lineRule="auto"/>
        <w:ind w:left="-178" w:leftChars="-85" w:firstLine="482" w:firstLineChars="200"/>
        <w:rPr>
          <w:rFonts w:ascii="宋体" w:hAnsi="宋体"/>
          <w:b/>
          <w:sz w:val="24"/>
        </w:rPr>
      </w:pPr>
      <w:r>
        <w:rPr>
          <w:rFonts w:hint="eastAsia" w:ascii="宋体" w:hAnsi="宋体"/>
          <w:b/>
          <w:sz w:val="24"/>
        </w:rPr>
        <w:t>（三）运输招标书文件的编写</w:t>
      </w:r>
    </w:p>
    <w:p>
      <w:pPr>
        <w:spacing w:line="360" w:lineRule="auto"/>
        <w:ind w:left="-178" w:leftChars="-85" w:firstLine="482" w:firstLineChars="200"/>
        <w:rPr>
          <w:rFonts w:ascii="宋体" w:hAnsi="宋体"/>
          <w:b/>
          <w:sz w:val="24"/>
        </w:rPr>
      </w:pPr>
      <w:r>
        <w:rPr>
          <w:rFonts w:hint="eastAsia" w:ascii="宋体" w:hAnsi="宋体"/>
          <w:b/>
          <w:sz w:val="24"/>
        </w:rPr>
        <w:t>1.</w:t>
      </w:r>
      <w:r>
        <w:rPr>
          <w:rFonts w:hint="eastAsia"/>
        </w:rPr>
        <w:t xml:space="preserve"> </w:t>
      </w:r>
      <w:r>
        <w:rPr>
          <w:rFonts w:hint="eastAsia" w:ascii="宋体" w:hAnsi="宋体"/>
          <w:b/>
          <w:sz w:val="24"/>
        </w:rPr>
        <w:t>运输招标书文件的构成：</w:t>
      </w:r>
    </w:p>
    <w:p>
      <w:pPr>
        <w:spacing w:line="360" w:lineRule="auto"/>
        <w:ind w:left="-178" w:leftChars="-85" w:firstLine="480" w:firstLineChars="200"/>
        <w:rPr>
          <w:rFonts w:ascii="宋体" w:hAnsi="宋体"/>
          <w:sz w:val="24"/>
        </w:rPr>
      </w:pPr>
      <w:r>
        <w:rPr>
          <w:rFonts w:hint="eastAsia" w:ascii="宋体" w:hAnsi="宋体"/>
          <w:sz w:val="24"/>
        </w:rPr>
        <w:t>参与人编写的运输招标书文件应包括下列内容：</w:t>
      </w:r>
    </w:p>
    <w:p>
      <w:pPr>
        <w:spacing w:line="360" w:lineRule="auto"/>
        <w:ind w:left="-178" w:leftChars="-85" w:firstLine="480" w:firstLineChars="200"/>
        <w:rPr>
          <w:rFonts w:ascii="宋体" w:hAnsi="宋体"/>
          <w:sz w:val="24"/>
        </w:rPr>
      </w:pPr>
      <w:r>
        <w:rPr>
          <w:rFonts w:hint="eastAsia" w:ascii="宋体" w:hAnsi="宋体"/>
          <w:sz w:val="24"/>
        </w:rPr>
        <w:t>（1）按《</w:t>
      </w:r>
      <w:r>
        <w:rPr>
          <w:rFonts w:hint="eastAsia" w:ascii="宋体" w:hAnsi="宋体"/>
          <w:bCs/>
          <w:sz w:val="24"/>
        </w:rPr>
        <w:t>项目要求及技术规范</w:t>
      </w:r>
      <w:r>
        <w:rPr>
          <w:rFonts w:hint="eastAsia" w:ascii="宋体" w:hAnsi="宋体"/>
          <w:sz w:val="24"/>
        </w:rPr>
        <w:t>》的项目及内容要求填写的《招标书》及运输报价表。</w:t>
      </w:r>
    </w:p>
    <w:p>
      <w:pPr>
        <w:spacing w:line="360" w:lineRule="auto"/>
        <w:ind w:left="-178" w:leftChars="-85" w:firstLine="480" w:firstLineChars="200"/>
        <w:rPr>
          <w:rFonts w:ascii="宋体" w:hAnsi="宋体"/>
          <w:sz w:val="24"/>
        </w:rPr>
      </w:pPr>
      <w:r>
        <w:rPr>
          <w:rFonts w:hint="eastAsia" w:ascii="宋体" w:hAnsi="宋体"/>
          <w:sz w:val="24"/>
        </w:rPr>
        <w:t>（2）按照要求出具证明文件（复印件需加盖参与人公章），证明参与人是合格的，而且一旦其报价被接受，参与人有能力签订、履行合同，包括《营业执照》、《组织结构代码证》、《税务登记证》、《法定代表人身份证》及相应的运输资质证明（包括但不限于《道路运输经营许可证等》）。</w:t>
      </w:r>
    </w:p>
    <w:p>
      <w:pPr>
        <w:spacing w:line="360" w:lineRule="auto"/>
        <w:ind w:left="-178" w:leftChars="-85" w:firstLine="482" w:firstLineChars="200"/>
        <w:rPr>
          <w:rFonts w:ascii="宋体" w:hAnsi="宋体"/>
          <w:b/>
          <w:sz w:val="24"/>
        </w:rPr>
      </w:pPr>
      <w:r>
        <w:rPr>
          <w:rFonts w:hint="eastAsia" w:ascii="宋体" w:hAnsi="宋体"/>
          <w:b/>
          <w:sz w:val="24"/>
        </w:rPr>
        <w:t>2. 竞争性谈判文件提交方式：</w:t>
      </w:r>
    </w:p>
    <w:p>
      <w:pPr>
        <w:spacing w:line="360" w:lineRule="auto"/>
        <w:ind w:left="-178" w:leftChars="-85" w:firstLine="480" w:firstLineChars="200"/>
        <w:rPr>
          <w:rFonts w:ascii="宋体" w:hAnsi="宋体"/>
          <w:sz w:val="24"/>
        </w:rPr>
      </w:pPr>
      <w:r>
        <w:rPr>
          <w:rFonts w:hint="eastAsia" w:ascii="宋体" w:hAnsi="宋体"/>
          <w:sz w:val="24"/>
        </w:rPr>
        <w:t>（1）参与人应提交二份运输招标书文件，其中一份正本、一份副本。正、副本必须相符，否则作废。正、副本的封面必须写明项目名称、运输招标书、报价区域、参与者名称、日期和“正本”或“副本”。</w:t>
      </w:r>
    </w:p>
    <w:p>
      <w:pPr>
        <w:spacing w:line="360" w:lineRule="auto"/>
        <w:ind w:left="-178" w:leftChars="-85" w:firstLine="480" w:firstLineChars="200"/>
        <w:rPr>
          <w:rFonts w:ascii="宋体" w:hAnsi="宋体"/>
          <w:sz w:val="24"/>
        </w:rPr>
      </w:pPr>
      <w:r>
        <w:rPr>
          <w:rFonts w:hint="eastAsia" w:ascii="宋体" w:hAnsi="宋体"/>
          <w:sz w:val="24"/>
        </w:rPr>
        <w:t>（2）运输招标书文件须打印、有页号、可拆卸，并应有报价日期，法定代表人或其授权代表用不脱色墨水在运输招标书文件法定代表人一栏签字，在运输招标书文件相应位置加盖公章并盖骑缝章。授权人必须随运输招标书文件递交授权书，授权书须订入运输招标书文件正本。运输招标书文件副本可以是正本的复印件，其内容必须与正本一致。</w:t>
      </w:r>
    </w:p>
    <w:p>
      <w:pPr>
        <w:spacing w:line="360" w:lineRule="auto"/>
        <w:ind w:left="-178" w:leftChars="-85" w:firstLine="480" w:firstLineChars="200"/>
        <w:rPr>
          <w:rFonts w:ascii="宋体" w:hAnsi="宋体"/>
          <w:sz w:val="24"/>
        </w:rPr>
      </w:pPr>
      <w:r>
        <w:rPr>
          <w:rFonts w:hint="eastAsia" w:ascii="宋体" w:hAnsi="宋体"/>
          <w:sz w:val="24"/>
        </w:rPr>
        <w:t>（3）运输招标书文件正本和副本用一个大信封密封，并在封口处加盖公章。信封表面注明“</w:t>
      </w:r>
      <w:r>
        <w:rPr>
          <w:rFonts w:hint="eastAsia" w:ascii="宋体" w:hAnsi="宋体"/>
          <w:b/>
          <w:sz w:val="24"/>
        </w:rPr>
        <w:t>运输招标书</w:t>
      </w:r>
      <w:r>
        <w:rPr>
          <w:rFonts w:hint="eastAsia" w:ascii="宋体" w:hAnsi="宋体"/>
          <w:sz w:val="24"/>
        </w:rPr>
        <w:t>”字样，否则后果自负。</w:t>
      </w:r>
    </w:p>
    <w:p>
      <w:pPr>
        <w:spacing w:line="360" w:lineRule="auto"/>
        <w:ind w:left="-178" w:leftChars="-85" w:firstLine="480" w:firstLineChars="200"/>
        <w:rPr>
          <w:rFonts w:ascii="宋体" w:hAnsi="宋体"/>
          <w:sz w:val="24"/>
        </w:rPr>
      </w:pPr>
      <w:r>
        <w:rPr>
          <w:rFonts w:hint="eastAsia" w:ascii="宋体" w:hAnsi="宋体"/>
          <w:sz w:val="24"/>
        </w:rPr>
        <w:t>（4）运输招标书文件、报价表需按照规定格式打印，同时形成电子文档用U盘拷贝，随运输招标书文件正本和副本一起密封回寄（注意:</w:t>
      </w:r>
      <w:r>
        <w:rPr>
          <w:rFonts w:hint="eastAsia"/>
        </w:rPr>
        <w:t xml:space="preserve"> </w:t>
      </w:r>
      <w:r>
        <w:rPr>
          <w:rFonts w:hint="eastAsia" w:ascii="宋体" w:hAnsi="宋体"/>
          <w:b/>
          <w:sz w:val="24"/>
        </w:rPr>
        <w:t>运输招标书文件报价格式不能修改</w:t>
      </w:r>
      <w:r>
        <w:rPr>
          <w:rFonts w:hint="eastAsia" w:ascii="宋体" w:hAnsi="宋体"/>
          <w:sz w:val="24"/>
        </w:rPr>
        <w:t>，否则作废）。</w:t>
      </w:r>
    </w:p>
    <w:p>
      <w:pPr>
        <w:spacing w:line="360" w:lineRule="auto"/>
        <w:ind w:left="-178" w:leftChars="-85" w:firstLine="482" w:firstLineChars="200"/>
        <w:rPr>
          <w:rFonts w:ascii="宋体" w:hAnsi="宋体"/>
          <w:b/>
          <w:sz w:val="24"/>
        </w:rPr>
      </w:pPr>
      <w:r>
        <w:rPr>
          <w:rFonts w:hint="eastAsia" w:ascii="宋体" w:hAnsi="宋体"/>
          <w:b/>
          <w:sz w:val="24"/>
        </w:rPr>
        <w:t>3.</w:t>
      </w:r>
      <w:r>
        <w:rPr>
          <w:rFonts w:hint="eastAsia"/>
        </w:rPr>
        <w:t xml:space="preserve"> </w:t>
      </w:r>
      <w:r>
        <w:rPr>
          <w:rFonts w:hint="eastAsia" w:ascii="宋体" w:hAnsi="宋体"/>
          <w:b/>
          <w:sz w:val="24"/>
        </w:rPr>
        <w:t>运输招标书有效期：</w:t>
      </w:r>
    </w:p>
    <w:p>
      <w:pPr>
        <w:spacing w:line="360" w:lineRule="auto"/>
        <w:ind w:left="-178" w:leftChars="-85" w:firstLine="480" w:firstLineChars="200"/>
        <w:rPr>
          <w:rFonts w:ascii="宋体" w:hAnsi="宋体"/>
          <w:sz w:val="24"/>
        </w:rPr>
      </w:pPr>
      <w:r>
        <w:rPr>
          <w:rFonts w:hint="eastAsia" w:ascii="宋体" w:hAnsi="宋体"/>
          <w:sz w:val="24"/>
        </w:rPr>
        <w:t>运输招标书文件应说明有效期于文件开启之日起计不短于两年。</w:t>
      </w:r>
    </w:p>
    <w:p>
      <w:pPr>
        <w:spacing w:line="360" w:lineRule="auto"/>
        <w:ind w:left="-178" w:leftChars="-85" w:firstLine="482" w:firstLineChars="200"/>
        <w:rPr>
          <w:rFonts w:ascii="宋体" w:hAnsi="宋体"/>
          <w:b/>
          <w:sz w:val="24"/>
        </w:rPr>
      </w:pPr>
    </w:p>
    <w:p>
      <w:pPr>
        <w:spacing w:line="360" w:lineRule="auto"/>
        <w:ind w:left="-178" w:leftChars="-85" w:firstLine="482" w:firstLineChars="200"/>
        <w:rPr>
          <w:rFonts w:ascii="宋体" w:hAnsi="宋体"/>
          <w:b/>
          <w:sz w:val="24"/>
        </w:rPr>
      </w:pPr>
      <w:r>
        <w:rPr>
          <w:rFonts w:hint="eastAsia" w:ascii="宋体" w:hAnsi="宋体"/>
          <w:b/>
          <w:sz w:val="24"/>
        </w:rPr>
        <w:t>（四）运输招标</w:t>
      </w:r>
    </w:p>
    <w:p>
      <w:pPr>
        <w:spacing w:line="360" w:lineRule="auto"/>
        <w:ind w:left="-178" w:leftChars="-85" w:firstLine="482" w:firstLineChars="200"/>
        <w:rPr>
          <w:rFonts w:ascii="宋体" w:hAnsi="宋体"/>
          <w:b/>
          <w:sz w:val="24"/>
        </w:rPr>
      </w:pPr>
      <w:r>
        <w:rPr>
          <w:rFonts w:hint="eastAsia" w:ascii="宋体" w:hAnsi="宋体"/>
          <w:b/>
          <w:sz w:val="24"/>
        </w:rPr>
        <w:t>1.</w:t>
      </w:r>
      <w:r>
        <w:rPr>
          <w:rFonts w:hint="eastAsia"/>
        </w:rPr>
        <w:t xml:space="preserve"> </w:t>
      </w:r>
      <w:r>
        <w:rPr>
          <w:rFonts w:hint="eastAsia" w:ascii="宋体" w:hAnsi="宋体"/>
          <w:b/>
          <w:sz w:val="24"/>
        </w:rPr>
        <w:t>运输招标书文件投递：</w:t>
      </w:r>
    </w:p>
    <w:p>
      <w:pPr>
        <w:spacing w:line="360" w:lineRule="auto"/>
        <w:ind w:left="-178" w:leftChars="-85" w:firstLine="482" w:firstLineChars="200"/>
        <w:rPr>
          <w:rFonts w:ascii="宋体" w:hAnsi="宋体"/>
          <w:b/>
          <w:sz w:val="24"/>
        </w:rPr>
      </w:pPr>
      <w:r>
        <w:rPr>
          <w:rFonts w:hint="eastAsia" w:ascii="宋体" w:hAnsi="宋体"/>
          <w:b/>
          <w:sz w:val="24"/>
        </w:rPr>
        <w:t>（1）截止时间：</w:t>
      </w:r>
    </w:p>
    <w:p>
      <w:pPr>
        <w:spacing w:line="360" w:lineRule="auto"/>
        <w:ind w:left="-178" w:leftChars="-85" w:firstLine="480" w:firstLineChars="200"/>
        <w:rPr>
          <w:rFonts w:ascii="宋体" w:hAnsi="宋体"/>
          <w:b/>
          <w:sz w:val="24"/>
        </w:rPr>
      </w:pPr>
      <w:r>
        <w:rPr>
          <w:rFonts w:hint="eastAsia" w:ascii="宋体" w:hAnsi="宋体"/>
          <w:sz w:val="24"/>
        </w:rPr>
        <w:t>标书文件投递截止</w:t>
      </w:r>
      <w:r>
        <w:rPr>
          <w:rFonts w:hint="eastAsia" w:ascii="宋体" w:hAnsi="宋体"/>
          <w:color w:val="000000" w:themeColor="text1"/>
          <w:sz w:val="24"/>
          <w:u w:val="single"/>
          <w14:textFill>
            <w14:solidFill>
              <w14:schemeClr w14:val="tx1"/>
            </w14:solidFill>
          </w14:textFill>
        </w:rPr>
        <w:t>20</w:t>
      </w:r>
      <w:r>
        <w:rPr>
          <w:rFonts w:ascii="宋体" w:hAnsi="宋体"/>
          <w:color w:val="000000" w:themeColor="text1"/>
          <w:sz w:val="24"/>
          <w:u w:val="single"/>
          <w14:textFill>
            <w14:solidFill>
              <w14:schemeClr w14:val="tx1"/>
            </w14:solidFill>
          </w14:textFill>
        </w:rPr>
        <w:t>2</w:t>
      </w:r>
      <w:r>
        <w:rPr>
          <w:rFonts w:hint="eastAsia" w:ascii="宋体" w:hAnsi="宋体"/>
          <w:color w:val="000000" w:themeColor="text1"/>
          <w:sz w:val="24"/>
          <w:u w:val="single"/>
          <w:lang w:val="en-US" w:eastAsia="zh-CN"/>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8</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15</w:t>
      </w:r>
      <w:r>
        <w:rPr>
          <w:rFonts w:hint="eastAsia" w:ascii="宋体" w:hAnsi="宋体"/>
          <w:color w:val="000000" w:themeColor="text1"/>
          <w:sz w:val="24"/>
          <w:u w:val="single"/>
          <w14:textFill>
            <w14:solidFill>
              <w14:schemeClr w14:val="tx1"/>
            </w14:solidFill>
          </w14:textFill>
        </w:rPr>
        <w:t>日09:00</w:t>
      </w:r>
      <w:r>
        <w:rPr>
          <w:rFonts w:hint="eastAsia" w:ascii="宋体" w:hAnsi="宋体"/>
          <w:sz w:val="24"/>
        </w:rPr>
        <w:t>（以收件人签收时间为准)</w:t>
      </w:r>
    </w:p>
    <w:p>
      <w:pPr>
        <w:spacing w:line="360" w:lineRule="auto"/>
        <w:ind w:left="-178" w:leftChars="-85" w:firstLine="482" w:firstLineChars="200"/>
        <w:rPr>
          <w:rFonts w:ascii="宋体" w:hAnsi="宋体"/>
          <w:b/>
          <w:sz w:val="24"/>
        </w:rPr>
      </w:pPr>
      <w:r>
        <w:rPr>
          <w:rFonts w:hint="eastAsia" w:ascii="宋体" w:hAnsi="宋体"/>
          <w:b/>
          <w:sz w:val="24"/>
        </w:rPr>
        <w:t>（2）运输招标书文件投递地址、接收人：</w:t>
      </w:r>
    </w:p>
    <w:p>
      <w:pPr>
        <w:spacing w:line="360" w:lineRule="auto"/>
        <w:ind w:left="-178" w:leftChars="-85" w:firstLine="480" w:firstLineChars="200"/>
        <w:rPr>
          <w:rFonts w:ascii="宋体" w:hAnsi="宋体"/>
          <w:b/>
          <w:sz w:val="24"/>
        </w:rPr>
      </w:pPr>
      <w:r>
        <w:rPr>
          <w:rFonts w:hint="eastAsia" w:ascii="宋体" w:hAnsi="宋体"/>
          <w:sz w:val="24"/>
        </w:rPr>
        <w:t>标书文件邮寄地址：安徽省合肥市包河经济开发区大连路16号</w:t>
      </w:r>
    </w:p>
    <w:p>
      <w:pPr>
        <w:spacing w:line="360" w:lineRule="auto"/>
        <w:ind w:left="-178" w:leftChars="-85" w:firstLine="480" w:firstLineChars="200"/>
        <w:rPr>
          <w:rFonts w:ascii="宋体" w:hAnsi="宋体"/>
          <w:sz w:val="24"/>
        </w:rPr>
      </w:pPr>
      <w:r>
        <w:rPr>
          <w:rFonts w:hint="eastAsia" w:ascii="宋体" w:hAnsi="宋体"/>
          <w:sz w:val="24"/>
        </w:rPr>
        <w:t>收件人：慕浩楠（安徽丰原医药营销有限公司）</w:t>
      </w:r>
    </w:p>
    <w:p>
      <w:pPr>
        <w:spacing w:line="360" w:lineRule="auto"/>
        <w:ind w:left="-178" w:leftChars="-85" w:firstLine="480" w:firstLineChars="200"/>
        <w:rPr>
          <w:rFonts w:ascii="宋体" w:hAnsi="宋体"/>
          <w:b/>
          <w:sz w:val="24"/>
        </w:rPr>
      </w:pPr>
      <w:r>
        <w:rPr>
          <w:rFonts w:hint="eastAsia" w:ascii="宋体" w:hAnsi="宋体"/>
          <w:sz w:val="24"/>
        </w:rPr>
        <w:t>电话：0551-64846085或者0551-64846135</w:t>
      </w:r>
    </w:p>
    <w:p>
      <w:pPr>
        <w:spacing w:line="360" w:lineRule="auto"/>
        <w:ind w:left="-178" w:leftChars="-85" w:firstLine="482" w:firstLineChars="200"/>
        <w:rPr>
          <w:rFonts w:ascii="宋体" w:hAnsi="宋体"/>
          <w:b/>
          <w:sz w:val="24"/>
        </w:rPr>
      </w:pPr>
      <w:r>
        <w:rPr>
          <w:rFonts w:hint="eastAsia" w:ascii="宋体" w:hAnsi="宋体"/>
          <w:b/>
          <w:sz w:val="24"/>
        </w:rPr>
        <w:t>（3）涉及运输招标书业务问题咨询，需通过E-mail方式同时发给：</w:t>
      </w:r>
    </w:p>
    <w:p>
      <w:pPr>
        <w:tabs>
          <w:tab w:val="center" w:pos="4847"/>
        </w:tabs>
        <w:spacing w:line="360" w:lineRule="auto"/>
        <w:ind w:right="-334" w:rightChars="-159" w:firstLine="480" w:firstLineChars="200"/>
        <w:rPr>
          <w:rFonts w:ascii="宋体" w:hAnsi="宋体"/>
          <w:color w:val="000000" w:themeColor="text1"/>
          <w:sz w:val="24"/>
          <w14:textFill>
            <w14:solidFill>
              <w14:schemeClr w14:val="tx1"/>
            </w14:solidFill>
          </w14:textFill>
        </w:rPr>
      </w:pPr>
      <w:r>
        <w:rPr>
          <w:rFonts w:hint="eastAsia" w:ascii="宋体" w:hAnsi="宋体" w:cs="宋体"/>
          <w:color w:val="auto"/>
          <w:kern w:val="0"/>
          <w:sz w:val="24"/>
        </w:rPr>
        <w:t>慕浩楠（1491614998@qq.com）、路宽（903121999@qq.com）</w:t>
      </w:r>
      <w:r>
        <w:rPr>
          <w:rFonts w:hint="eastAsia" w:ascii="宋体" w:hAnsi="宋体"/>
          <w:color w:val="auto"/>
          <w:sz w:val="24"/>
        </w:rPr>
        <w:t>;</w:t>
      </w:r>
      <w:r>
        <w:rPr>
          <w:rFonts w:ascii="宋体" w:hAnsi="宋体"/>
          <w:color w:val="000000" w:themeColor="text1"/>
          <w:sz w:val="24"/>
          <w14:textFill>
            <w14:solidFill>
              <w14:schemeClr w14:val="tx1"/>
            </w14:solidFill>
          </w14:textFill>
        </w:rPr>
        <w:t xml:space="preserve"> </w:t>
      </w:r>
    </w:p>
    <w:p>
      <w:pPr>
        <w:tabs>
          <w:tab w:val="center" w:pos="4847"/>
        </w:tabs>
        <w:spacing w:line="360" w:lineRule="auto"/>
        <w:ind w:right="-334" w:rightChars="-159"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同时抄送张兵创（</w:t>
      </w:r>
      <w:r>
        <w:rPr>
          <w:rStyle w:val="24"/>
          <w:rFonts w:hint="eastAsia"/>
          <w:color w:val="000000" w:themeColor="text1"/>
          <w:sz w:val="24"/>
          <w14:textFill>
            <w14:solidFill>
              <w14:schemeClr w14:val="tx1"/>
            </w14:solidFill>
          </w14:textFill>
        </w:rPr>
        <w:t>2215349721@qq.com</w:t>
      </w:r>
      <w:r>
        <w:rPr>
          <w:rFonts w:hint="eastAsia" w:ascii="宋体" w:hAnsi="宋体"/>
          <w:color w:val="000000" w:themeColor="text1"/>
          <w:sz w:val="24"/>
          <w14:textFill>
            <w14:solidFill>
              <w14:schemeClr w14:val="tx1"/>
            </w14:solidFill>
          </w14:textFill>
        </w:rPr>
        <w:t>）；</w:t>
      </w:r>
    </w:p>
    <w:p>
      <w:pPr>
        <w:tabs>
          <w:tab w:val="center" w:pos="4847"/>
        </w:tabs>
        <w:spacing w:line="360" w:lineRule="auto"/>
        <w:ind w:right="-714" w:rightChars="-340" w:firstLine="241" w:firstLineChars="100"/>
        <w:rPr>
          <w:rFonts w:ascii="宋体" w:hAnsi="宋体"/>
          <w:sz w:val="24"/>
        </w:rPr>
      </w:pPr>
      <w:r>
        <w:rPr>
          <w:rFonts w:hint="eastAsia" w:ascii="宋体" w:hAnsi="宋体"/>
          <w:b/>
          <w:sz w:val="24"/>
        </w:rPr>
        <w:t>（4）</w:t>
      </w:r>
      <w:r>
        <w:rPr>
          <w:rFonts w:hint="eastAsia" w:ascii="宋体" w:hAnsi="宋体"/>
          <w:sz w:val="24"/>
        </w:rPr>
        <w:t>如需推迟接收截止日期，将以电子邮件或传真的形式通知所有运输招标参与者。</w:t>
      </w:r>
    </w:p>
    <w:p>
      <w:pPr>
        <w:tabs>
          <w:tab w:val="center" w:pos="4847"/>
        </w:tabs>
        <w:spacing w:line="360" w:lineRule="auto"/>
        <w:ind w:right="-334" w:rightChars="-159" w:firstLine="241" w:firstLineChars="100"/>
        <w:rPr>
          <w:rFonts w:ascii="宋体" w:hAnsi="宋体"/>
          <w:sz w:val="24"/>
        </w:rPr>
      </w:pPr>
      <w:r>
        <w:rPr>
          <w:rFonts w:hint="eastAsia" w:ascii="宋体" w:hAnsi="宋体"/>
          <w:b/>
          <w:sz w:val="24"/>
        </w:rPr>
        <w:t>（5）</w:t>
      </w:r>
      <w:r>
        <w:rPr>
          <w:rFonts w:hint="eastAsia" w:ascii="宋体" w:hAnsi="宋体"/>
          <w:sz w:val="24"/>
        </w:rPr>
        <w:t>在截止时限以后送达的运输招标文件，安徽丰原医药营销有限公司有权拒绝接收。</w:t>
      </w:r>
    </w:p>
    <w:p>
      <w:pPr>
        <w:tabs>
          <w:tab w:val="center" w:pos="4847"/>
        </w:tabs>
        <w:spacing w:line="360" w:lineRule="auto"/>
        <w:ind w:right="-334" w:rightChars="-159" w:firstLine="482" w:firstLineChars="200"/>
        <w:rPr>
          <w:rFonts w:ascii="宋体" w:hAnsi="宋体"/>
          <w:b/>
          <w:sz w:val="24"/>
        </w:rPr>
      </w:pPr>
      <w:r>
        <w:rPr>
          <w:rFonts w:hint="eastAsia" w:ascii="宋体" w:hAnsi="宋体"/>
          <w:b/>
          <w:sz w:val="24"/>
        </w:rPr>
        <w:t>2.文件的修改和撤回：</w:t>
      </w:r>
    </w:p>
    <w:p>
      <w:pPr>
        <w:tabs>
          <w:tab w:val="center" w:pos="4847"/>
        </w:tabs>
        <w:spacing w:line="360" w:lineRule="auto"/>
        <w:ind w:right="-334" w:rightChars="-159" w:firstLine="480" w:firstLineChars="200"/>
        <w:rPr>
          <w:rFonts w:ascii="宋体" w:hAnsi="宋体"/>
          <w:sz w:val="24"/>
        </w:rPr>
      </w:pPr>
      <w:r>
        <w:rPr>
          <w:rFonts w:hint="eastAsia" w:ascii="宋体" w:hAnsi="宋体"/>
          <w:sz w:val="24"/>
        </w:rPr>
        <w:t>在截止日期后，除非我司要求，否则我司有权拒绝运输招标参与者对运输招标文件的修改和撤回。</w:t>
      </w:r>
    </w:p>
    <w:p>
      <w:pPr>
        <w:spacing w:line="360" w:lineRule="auto"/>
        <w:ind w:left="-178" w:leftChars="-85" w:firstLine="482" w:firstLineChars="200"/>
        <w:rPr>
          <w:rFonts w:ascii="宋体" w:hAnsi="宋体"/>
          <w:b/>
          <w:sz w:val="24"/>
        </w:rPr>
      </w:pPr>
      <w:r>
        <w:rPr>
          <w:rFonts w:hint="eastAsia" w:ascii="宋体" w:hAnsi="宋体"/>
          <w:b/>
          <w:sz w:val="24"/>
        </w:rPr>
        <w:t>（五）运输保证金</w:t>
      </w:r>
    </w:p>
    <w:p>
      <w:pPr>
        <w:tabs>
          <w:tab w:val="center" w:pos="4847"/>
        </w:tabs>
        <w:spacing w:line="360" w:lineRule="auto"/>
        <w:ind w:right="-334" w:rightChars="-159" w:firstLine="480" w:firstLineChars="200"/>
        <w:rPr>
          <w:rFonts w:ascii="宋体" w:hAnsi="宋体"/>
          <w:sz w:val="24"/>
        </w:rPr>
      </w:pPr>
      <w:r>
        <w:rPr>
          <w:rFonts w:hint="eastAsia" w:ascii="宋体" w:hAnsi="宋体"/>
          <w:sz w:val="24"/>
        </w:rPr>
        <w:t>运输保证金为人民币</w:t>
      </w:r>
      <w:r>
        <w:rPr>
          <w:rFonts w:hint="eastAsia" w:ascii="宋体" w:hAnsi="宋体"/>
          <w:sz w:val="24"/>
          <w:u w:val="single"/>
        </w:rPr>
        <w:t xml:space="preserve"> 10 </w:t>
      </w:r>
      <w:r>
        <w:rPr>
          <w:rFonts w:hint="eastAsia" w:ascii="宋体" w:hAnsi="宋体"/>
          <w:sz w:val="24"/>
        </w:rPr>
        <w:t>万元，参与运输招标者应于</w:t>
      </w:r>
      <w:r>
        <w:rPr>
          <w:rFonts w:hint="eastAsia" w:ascii="宋体" w:hAnsi="宋体"/>
          <w:color w:val="000000" w:themeColor="text1"/>
          <w:sz w:val="24"/>
          <w:u w:val="single"/>
          <w14:textFill>
            <w14:solidFill>
              <w14:schemeClr w14:val="tx1"/>
            </w14:solidFill>
          </w14:textFill>
        </w:rPr>
        <w:t>20</w:t>
      </w:r>
      <w:r>
        <w:rPr>
          <w:rFonts w:ascii="宋体" w:hAnsi="宋体"/>
          <w:color w:val="000000" w:themeColor="text1"/>
          <w:sz w:val="24"/>
          <w:u w:val="single"/>
          <w14:textFill>
            <w14:solidFill>
              <w14:schemeClr w14:val="tx1"/>
            </w14:solidFill>
          </w14:textFill>
        </w:rPr>
        <w:t>21</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8</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15</w:t>
      </w:r>
      <w:r>
        <w:rPr>
          <w:rFonts w:hint="eastAsia" w:ascii="宋体" w:hAnsi="宋体"/>
          <w:color w:val="000000" w:themeColor="text1"/>
          <w:sz w:val="24"/>
          <w:u w:val="single"/>
          <w14:textFill>
            <w14:solidFill>
              <w14:schemeClr w14:val="tx1"/>
            </w14:solidFill>
          </w14:textFill>
        </w:rPr>
        <w:t>日</w:t>
      </w:r>
      <w:r>
        <w:rPr>
          <w:rFonts w:hint="eastAsia" w:ascii="宋体" w:hAnsi="宋体"/>
          <w:sz w:val="24"/>
        </w:rPr>
        <w:t>前将保证金汇入安徽丰原医药营销有限公司指定的银行账户。运输招标结束后，如果与入围参与者依法签订合同的，本保证金转为合同履约保证金。对于未入围参与者，安徽丰原医药营销有限公司将于运输招标结果正式通知后</w:t>
      </w:r>
      <w:r>
        <w:rPr>
          <w:rFonts w:hint="eastAsia" w:ascii="宋体" w:hAnsi="宋体"/>
          <w:sz w:val="24"/>
          <w:u w:val="single"/>
        </w:rPr>
        <w:t>_30_</w:t>
      </w:r>
      <w:r>
        <w:rPr>
          <w:rFonts w:hint="eastAsia" w:ascii="宋体" w:hAnsi="宋体"/>
          <w:sz w:val="24"/>
        </w:rPr>
        <w:t>个工作日内，向参与运输招标者不计利息返还投标保证金。参与运输招标者提供虚假信息参与谈判的、收到《生意授予书》后不与安徽丰原医药营销有限公司签署合同的，安徽丰原医药营销有限公司有权没收本保证金。</w:t>
      </w:r>
    </w:p>
    <w:p>
      <w:pPr>
        <w:tabs>
          <w:tab w:val="center" w:pos="4847"/>
        </w:tabs>
        <w:spacing w:line="360" w:lineRule="auto"/>
        <w:ind w:right="-334" w:rightChars="-159" w:firstLine="482" w:firstLineChars="200"/>
        <w:rPr>
          <w:rFonts w:ascii="宋体" w:hAnsi="宋体"/>
          <w:b/>
          <w:bCs/>
          <w:sz w:val="24"/>
        </w:rPr>
      </w:pPr>
      <w:r>
        <w:rPr>
          <w:rFonts w:hint="eastAsia" w:ascii="宋体" w:hAnsi="宋体"/>
          <w:b/>
          <w:bCs/>
          <w:sz w:val="24"/>
        </w:rPr>
        <w:t>安徽丰原医药营销有限公司指定的银行账户如下：</w:t>
      </w:r>
    </w:p>
    <w:p>
      <w:pPr>
        <w:tabs>
          <w:tab w:val="center" w:pos="4847"/>
        </w:tabs>
        <w:spacing w:line="360" w:lineRule="auto"/>
        <w:ind w:right="-334" w:rightChars="-159" w:firstLine="482" w:firstLineChars="200"/>
        <w:rPr>
          <w:rFonts w:ascii="宋体" w:hAnsi="宋体"/>
          <w:b/>
          <w:bCs/>
          <w:sz w:val="24"/>
          <w:u w:val="single"/>
        </w:rPr>
      </w:pPr>
      <w:r>
        <w:rPr>
          <w:rFonts w:hint="eastAsia" w:ascii="宋体" w:hAnsi="宋体"/>
          <w:b/>
          <w:bCs/>
          <w:sz w:val="24"/>
        </w:rPr>
        <w:t>账户名：</w:t>
      </w:r>
      <w:r>
        <w:rPr>
          <w:rFonts w:hint="eastAsia" w:ascii="宋体" w:hAnsi="宋体"/>
          <w:b/>
          <w:bCs/>
          <w:sz w:val="24"/>
          <w:u w:val="single"/>
        </w:rPr>
        <w:t xml:space="preserve">安徽丰原医药营销有限公司    </w:t>
      </w:r>
    </w:p>
    <w:p>
      <w:pPr>
        <w:tabs>
          <w:tab w:val="center" w:pos="4847"/>
        </w:tabs>
        <w:spacing w:line="360" w:lineRule="auto"/>
        <w:ind w:right="-334" w:rightChars="-159" w:firstLine="482" w:firstLineChars="200"/>
        <w:rPr>
          <w:rFonts w:ascii="宋体" w:hAnsi="宋体"/>
          <w:b/>
          <w:bCs/>
          <w:sz w:val="24"/>
        </w:rPr>
      </w:pPr>
      <w:r>
        <w:rPr>
          <w:rFonts w:hint="eastAsia" w:ascii="宋体" w:hAnsi="宋体"/>
          <w:b/>
          <w:bCs/>
          <w:sz w:val="24"/>
        </w:rPr>
        <w:t>开户行：</w:t>
      </w:r>
      <w:r>
        <w:rPr>
          <w:rFonts w:ascii="Verdana" w:hAnsi="Verdana" w:cs="宋体"/>
          <w:b/>
          <w:bCs/>
          <w:color w:val="000000"/>
          <w:kern w:val="0"/>
          <w:sz w:val="24"/>
          <w:u w:val="single"/>
        </w:rPr>
        <w:t>中国光大银行合肥马鞍山路支行</w:t>
      </w:r>
    </w:p>
    <w:p>
      <w:pPr>
        <w:tabs>
          <w:tab w:val="center" w:pos="4847"/>
        </w:tabs>
        <w:spacing w:line="360" w:lineRule="auto"/>
        <w:ind w:right="-334" w:rightChars="-159" w:firstLine="482" w:firstLineChars="200"/>
        <w:rPr>
          <w:rFonts w:ascii="宋体" w:hAnsi="宋体"/>
          <w:b/>
          <w:bCs/>
          <w:sz w:val="24"/>
        </w:rPr>
      </w:pPr>
      <w:r>
        <w:rPr>
          <w:rFonts w:hint="eastAsia" w:ascii="宋体" w:hAnsi="宋体"/>
          <w:b/>
          <w:bCs/>
          <w:sz w:val="24"/>
        </w:rPr>
        <w:t>账  号：</w:t>
      </w:r>
      <w:r>
        <w:rPr>
          <w:rFonts w:hint="eastAsia" w:ascii="宋体" w:hAnsi="宋体"/>
          <w:b/>
          <w:bCs/>
          <w:sz w:val="24"/>
          <w:u w:val="single"/>
        </w:rPr>
        <w:t xml:space="preserve">  </w:t>
      </w:r>
      <w:r>
        <w:rPr>
          <w:rFonts w:ascii="Verdana" w:hAnsi="Verdana" w:cs="宋体"/>
          <w:b/>
          <w:bCs/>
          <w:color w:val="000000"/>
          <w:kern w:val="0"/>
          <w:sz w:val="24"/>
          <w:u w:val="single"/>
        </w:rPr>
        <w:t>76710188000037687</w:t>
      </w:r>
      <w:r>
        <w:rPr>
          <w:rFonts w:hint="eastAsia" w:ascii="Verdana" w:hAnsi="Verdana" w:cs="宋体"/>
          <w:b/>
          <w:bCs/>
          <w:color w:val="000000"/>
          <w:kern w:val="0"/>
          <w:sz w:val="24"/>
          <w:u w:val="single"/>
        </w:rPr>
        <w:t xml:space="preserve">  </w:t>
      </w:r>
    </w:p>
    <w:p>
      <w:pPr>
        <w:tabs>
          <w:tab w:val="center" w:pos="4847"/>
        </w:tabs>
        <w:spacing w:line="360" w:lineRule="auto"/>
        <w:ind w:right="-334" w:rightChars="-159" w:firstLine="480" w:firstLineChars="200"/>
        <w:rPr>
          <w:rFonts w:ascii="宋体" w:hAnsi="宋体"/>
          <w:sz w:val="24"/>
        </w:rPr>
      </w:pPr>
    </w:p>
    <w:p>
      <w:pPr>
        <w:spacing w:line="360" w:lineRule="auto"/>
        <w:ind w:left="-178" w:leftChars="-85" w:firstLine="482" w:firstLineChars="200"/>
        <w:rPr>
          <w:rFonts w:ascii="宋体" w:hAnsi="宋体"/>
          <w:b/>
          <w:sz w:val="24"/>
        </w:rPr>
      </w:pPr>
      <w:r>
        <w:rPr>
          <w:rFonts w:hint="eastAsia" w:ascii="宋体" w:hAnsi="宋体"/>
          <w:b/>
          <w:sz w:val="24"/>
        </w:rPr>
        <w:t>（六）运输招标文件的开启及评审</w:t>
      </w:r>
    </w:p>
    <w:p>
      <w:pPr>
        <w:spacing w:line="360" w:lineRule="auto"/>
        <w:ind w:left="-178" w:leftChars="-85" w:firstLine="482" w:firstLineChars="200"/>
        <w:rPr>
          <w:rFonts w:ascii="宋体" w:hAnsi="宋体"/>
          <w:b/>
          <w:sz w:val="24"/>
        </w:rPr>
      </w:pPr>
      <w:r>
        <w:rPr>
          <w:rFonts w:hint="eastAsia" w:ascii="宋体" w:hAnsi="宋体"/>
          <w:b/>
          <w:sz w:val="24"/>
        </w:rPr>
        <w:t>1.开启</w:t>
      </w:r>
    </w:p>
    <w:p>
      <w:pPr>
        <w:spacing w:line="360" w:lineRule="auto"/>
        <w:ind w:right="-334" w:rightChars="-159" w:firstLine="482" w:firstLineChars="200"/>
        <w:rPr>
          <w:rFonts w:ascii="宋体" w:hAnsi="宋体"/>
          <w:sz w:val="24"/>
        </w:rPr>
      </w:pPr>
      <w:r>
        <w:rPr>
          <w:rFonts w:hint="eastAsia" w:ascii="宋体" w:hAnsi="宋体"/>
          <w:b/>
          <w:sz w:val="24"/>
        </w:rPr>
        <w:t>时间：</w:t>
      </w:r>
      <w:r>
        <w:rPr>
          <w:rFonts w:hint="eastAsia" w:ascii="宋体" w:hAnsi="宋体"/>
          <w:color w:val="000000" w:themeColor="text1"/>
          <w:sz w:val="24"/>
          <w:u w:val="single"/>
          <w14:textFill>
            <w14:solidFill>
              <w14:schemeClr w14:val="tx1"/>
            </w14:solidFill>
          </w14:textFill>
        </w:rPr>
        <w:t>20</w:t>
      </w:r>
      <w:r>
        <w:rPr>
          <w:rFonts w:ascii="宋体" w:hAnsi="宋体"/>
          <w:color w:val="000000" w:themeColor="text1"/>
          <w:sz w:val="24"/>
          <w:u w:val="single"/>
          <w14:textFill>
            <w14:solidFill>
              <w14:schemeClr w14:val="tx1"/>
            </w14:solidFill>
          </w14:textFill>
        </w:rPr>
        <w:t>21</w:t>
      </w:r>
      <w:r>
        <w:rPr>
          <w:rFonts w:hint="eastAsia" w:ascii="宋体" w:hAnsi="宋体"/>
          <w:color w:val="000000" w:themeColor="text1"/>
          <w:sz w:val="24"/>
          <w:u w:val="single"/>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8</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15</w:t>
      </w:r>
      <w:r>
        <w:rPr>
          <w:rFonts w:hint="eastAsia" w:ascii="宋体" w:hAnsi="宋体"/>
          <w:color w:val="000000" w:themeColor="text1"/>
          <w:sz w:val="24"/>
          <w:u w:val="single"/>
          <w14:textFill>
            <w14:solidFill>
              <w14:schemeClr w14:val="tx1"/>
            </w14:solidFill>
          </w14:textFill>
        </w:rPr>
        <w:t>日</w:t>
      </w:r>
    </w:p>
    <w:p>
      <w:pPr>
        <w:spacing w:line="360" w:lineRule="auto"/>
        <w:ind w:left="-21" w:leftChars="-10" w:firstLine="482" w:firstLineChars="200"/>
        <w:rPr>
          <w:rFonts w:ascii="宋体" w:hAnsi="宋体"/>
          <w:sz w:val="24"/>
        </w:rPr>
      </w:pPr>
      <w:r>
        <w:rPr>
          <w:rFonts w:hint="eastAsia" w:ascii="宋体" w:hAnsi="宋体"/>
          <w:b/>
          <w:sz w:val="24"/>
        </w:rPr>
        <w:t>地点：</w:t>
      </w:r>
      <w:r>
        <w:rPr>
          <w:rFonts w:hint="eastAsia" w:ascii="宋体" w:hAnsi="宋体"/>
          <w:sz w:val="24"/>
        </w:rPr>
        <w:t>安徽丰原药业股份有限公司物流分公司</w:t>
      </w:r>
    </w:p>
    <w:p>
      <w:pPr>
        <w:spacing w:line="360" w:lineRule="auto"/>
        <w:ind w:left="-178" w:leftChars="-85" w:firstLine="482" w:firstLineChars="200"/>
        <w:rPr>
          <w:rFonts w:ascii="宋体" w:hAnsi="宋体"/>
          <w:b/>
          <w:sz w:val="24"/>
        </w:rPr>
      </w:pPr>
      <w:r>
        <w:rPr>
          <w:rFonts w:hint="eastAsia" w:ascii="宋体" w:hAnsi="宋体"/>
          <w:b/>
          <w:sz w:val="24"/>
        </w:rPr>
        <w:t>2.评审</w:t>
      </w:r>
    </w:p>
    <w:p>
      <w:pPr>
        <w:spacing w:line="360" w:lineRule="auto"/>
        <w:ind w:left="-178" w:leftChars="-85" w:firstLine="480" w:firstLineChars="200"/>
        <w:rPr>
          <w:rFonts w:ascii="宋体" w:hAnsi="宋体"/>
          <w:sz w:val="24"/>
        </w:rPr>
      </w:pPr>
      <w:r>
        <w:rPr>
          <w:rFonts w:hint="eastAsia" w:ascii="宋体" w:hAnsi="宋体"/>
          <w:sz w:val="24"/>
        </w:rPr>
        <w:t>（1）评审的依据为安徽丰原药业股份有限公司的管理要求；与运输招标书有重大偏离的文件将被拒绝评比。</w:t>
      </w:r>
    </w:p>
    <w:p>
      <w:pPr>
        <w:spacing w:line="360" w:lineRule="auto"/>
        <w:ind w:left="-178" w:leftChars="-85" w:firstLine="480" w:firstLineChars="200"/>
        <w:rPr>
          <w:rFonts w:ascii="宋体" w:hAnsi="宋体"/>
          <w:sz w:val="24"/>
        </w:rPr>
      </w:pPr>
      <w:r>
        <w:rPr>
          <w:rFonts w:hint="eastAsia" w:ascii="宋体" w:hAnsi="宋体"/>
          <w:sz w:val="24"/>
        </w:rPr>
        <w:t>（2）在评审过程中，我司可能随时要求运输招标参与者提供补充资料，澄清或解释一些问题，运输招标参与者应该按我司的要求以书面的形式及时答复。</w:t>
      </w:r>
    </w:p>
    <w:p>
      <w:pPr>
        <w:spacing w:line="360" w:lineRule="auto"/>
        <w:ind w:left="-178" w:leftChars="-85" w:firstLine="482" w:firstLineChars="200"/>
        <w:rPr>
          <w:rFonts w:ascii="宋体" w:hAnsi="宋体"/>
          <w:sz w:val="24"/>
        </w:rPr>
      </w:pPr>
      <w:r>
        <w:rPr>
          <w:rFonts w:hint="eastAsia" w:ascii="宋体" w:hAnsi="宋体"/>
          <w:b/>
          <w:sz w:val="24"/>
        </w:rPr>
        <w:t>3.评审结果通知</w:t>
      </w:r>
    </w:p>
    <w:p>
      <w:pPr>
        <w:spacing w:line="360" w:lineRule="auto"/>
        <w:ind w:left="-178" w:leftChars="-85" w:firstLine="480" w:firstLineChars="200"/>
        <w:rPr>
          <w:rFonts w:ascii="宋体" w:hAnsi="宋体"/>
          <w:sz w:val="24"/>
        </w:rPr>
      </w:pPr>
      <w:r>
        <w:rPr>
          <w:rFonts w:hint="eastAsia" w:ascii="宋体" w:hAnsi="宋体"/>
          <w:sz w:val="24"/>
        </w:rPr>
        <w:t>评审结果确定后，我司将向入围运输招标参与者发出通知。</w:t>
      </w:r>
    </w:p>
    <w:p>
      <w:pPr>
        <w:spacing w:line="360" w:lineRule="auto"/>
        <w:ind w:left="-178" w:leftChars="-85" w:firstLine="480" w:firstLineChars="200"/>
        <w:rPr>
          <w:rFonts w:ascii="宋体" w:hAnsi="宋体"/>
          <w:sz w:val="24"/>
        </w:rPr>
      </w:pPr>
    </w:p>
    <w:p>
      <w:pPr>
        <w:spacing w:line="360" w:lineRule="auto"/>
        <w:ind w:left="-178" w:leftChars="-85" w:firstLine="482" w:firstLineChars="200"/>
        <w:rPr>
          <w:rFonts w:ascii="宋体" w:hAnsi="宋体"/>
          <w:b/>
          <w:sz w:val="24"/>
        </w:rPr>
      </w:pPr>
      <w:r>
        <w:rPr>
          <w:rFonts w:hint="eastAsia" w:ascii="宋体" w:hAnsi="宋体"/>
          <w:b/>
          <w:sz w:val="24"/>
        </w:rPr>
        <w:t>（七）签订合同</w:t>
      </w:r>
    </w:p>
    <w:p>
      <w:pPr>
        <w:spacing w:line="360" w:lineRule="auto"/>
        <w:ind w:left="-178" w:leftChars="-85" w:firstLine="480" w:firstLineChars="200"/>
        <w:rPr>
          <w:rFonts w:ascii="宋体" w:hAnsi="宋体"/>
          <w:b/>
          <w:sz w:val="24"/>
        </w:rPr>
      </w:pPr>
      <w:r>
        <w:rPr>
          <w:rFonts w:hint="eastAsia" w:ascii="宋体" w:hAnsi="宋体"/>
          <w:sz w:val="24"/>
        </w:rPr>
        <w:t>1. 入围供应商收到《干线运输授予书》后，按照我司通知规定的时间、地点与我司签订合同。运输招标参与者承诺，运输招标文件中涉及的报价、服务标准等均为真实、可行的报价、标准；如运输招标参与者成为入围供应商，经协商一致，将在报价文件基础上向我司提供更为优惠的合作条件，包括但不限于下调收费标准或提供较运输招标文件所载服务标准更为优质的服务等。</w:t>
      </w:r>
    </w:p>
    <w:p>
      <w:pPr>
        <w:spacing w:line="360" w:lineRule="auto"/>
        <w:ind w:left="-178" w:leftChars="-85" w:firstLine="480" w:firstLineChars="200"/>
        <w:rPr>
          <w:rFonts w:ascii="宋体" w:hAnsi="宋体"/>
          <w:sz w:val="24"/>
        </w:rPr>
      </w:pPr>
      <w:r>
        <w:rPr>
          <w:rFonts w:hint="eastAsia" w:ascii="宋体" w:hAnsi="宋体"/>
          <w:sz w:val="24"/>
        </w:rPr>
        <w:t>2.双方共同承认的运输招标文件及评审过程中形成的书面文件作为签订合同的基础，但本运输招标书不构成询价方对最终合作合同是否签订及合同内容的任何要约或承诺</w:t>
      </w:r>
      <w:r>
        <w:rPr>
          <w:rFonts w:hint="eastAsia" w:ascii="宋体" w:hAnsi="宋体"/>
          <w:b/>
          <w:sz w:val="24"/>
        </w:rPr>
        <w:t>。</w:t>
      </w:r>
    </w:p>
    <w:p>
      <w:pPr>
        <w:spacing w:line="360" w:lineRule="auto"/>
        <w:ind w:left="-178" w:leftChars="-85" w:firstLine="480" w:firstLineChars="200"/>
        <w:rPr>
          <w:rFonts w:ascii="宋体" w:hAnsi="宋体"/>
          <w:sz w:val="24"/>
        </w:rPr>
      </w:pPr>
      <w:r>
        <w:rPr>
          <w:rFonts w:hint="eastAsia" w:ascii="宋体" w:hAnsi="宋体"/>
          <w:sz w:val="24"/>
        </w:rPr>
        <w:t>3.如入围供应商收到《干线运输授予书》后未在规定时间与我司进行合同协商及签订，我司可扣除保证金，并从候选人中重新选定供应商，组织供需双方签订合同。</w:t>
      </w:r>
    </w:p>
    <w:p>
      <w:pPr>
        <w:spacing w:line="360" w:lineRule="auto"/>
        <w:jc w:val="center"/>
        <w:rPr>
          <w:rFonts w:ascii="宋体" w:hAnsi="宋体"/>
          <w:b/>
          <w:bCs/>
          <w:sz w:val="32"/>
          <w:szCs w:val="32"/>
        </w:rPr>
      </w:pPr>
      <w:r>
        <w:rPr>
          <w:rFonts w:ascii="宋体" w:hAnsi="宋体"/>
          <w:b/>
          <w:bCs/>
          <w:sz w:val="24"/>
        </w:rPr>
        <w:br w:type="page"/>
      </w:r>
      <w:r>
        <w:rPr>
          <w:rFonts w:hint="eastAsia" w:ascii="宋体" w:hAnsi="宋体"/>
          <w:b/>
          <w:bCs/>
          <w:sz w:val="32"/>
          <w:szCs w:val="32"/>
        </w:rPr>
        <w:t>二、运输招标项目要求及技术规范</w:t>
      </w:r>
    </w:p>
    <w:p>
      <w:pPr>
        <w:tabs>
          <w:tab w:val="left" w:pos="2790"/>
        </w:tabs>
        <w:spacing w:line="360" w:lineRule="auto"/>
        <w:ind w:firstLine="482" w:firstLineChars="200"/>
        <w:rPr>
          <w:rFonts w:ascii="宋体" w:hAnsi="宋体"/>
          <w:b/>
          <w:bCs/>
          <w:sz w:val="24"/>
        </w:rPr>
      </w:pPr>
      <w:r>
        <w:rPr>
          <w:rFonts w:hint="eastAsia" w:ascii="宋体" w:hAnsi="宋体"/>
          <w:b/>
          <w:bCs/>
          <w:sz w:val="24"/>
        </w:rPr>
        <w:t>（一）</w:t>
      </w:r>
      <w:r>
        <w:rPr>
          <w:rFonts w:hint="eastAsia" w:ascii="宋体" w:hAnsi="宋体"/>
          <w:b/>
          <w:sz w:val="24"/>
        </w:rPr>
        <w:t>运输招标</w:t>
      </w:r>
      <w:r>
        <w:rPr>
          <w:rFonts w:hint="eastAsia" w:ascii="宋体" w:hAnsi="宋体"/>
          <w:b/>
          <w:bCs/>
          <w:sz w:val="24"/>
        </w:rPr>
        <w:t>参与者项目管理能力</w:t>
      </w:r>
    </w:p>
    <w:p>
      <w:pPr>
        <w:tabs>
          <w:tab w:val="left" w:pos="2790"/>
        </w:tabs>
        <w:spacing w:line="360" w:lineRule="auto"/>
        <w:ind w:left="120" w:firstLine="480" w:firstLineChars="200"/>
        <w:rPr>
          <w:rFonts w:ascii="宋体" w:hAnsi="宋体"/>
          <w:sz w:val="24"/>
        </w:rPr>
      </w:pPr>
      <w:r>
        <w:rPr>
          <w:rFonts w:hint="eastAsia" w:ascii="宋体" w:hAnsi="宋体"/>
          <w:sz w:val="24"/>
        </w:rPr>
        <w:t>1.项目小组成员简介及项目负责人简介。</w:t>
      </w:r>
    </w:p>
    <w:p>
      <w:pPr>
        <w:tabs>
          <w:tab w:val="left" w:pos="2790"/>
        </w:tabs>
        <w:spacing w:line="360" w:lineRule="auto"/>
        <w:ind w:left="120" w:firstLine="480" w:firstLineChars="200"/>
        <w:rPr>
          <w:rFonts w:ascii="宋体" w:hAnsi="宋体"/>
          <w:sz w:val="24"/>
        </w:rPr>
      </w:pPr>
      <w:r>
        <w:rPr>
          <w:rFonts w:hint="eastAsia" w:ascii="宋体" w:hAnsi="宋体"/>
          <w:sz w:val="24"/>
        </w:rPr>
        <w:t>2.运输招标参与者的组织架构及能力介绍。</w:t>
      </w:r>
    </w:p>
    <w:p>
      <w:pPr>
        <w:tabs>
          <w:tab w:val="left" w:pos="2790"/>
        </w:tabs>
        <w:spacing w:line="360" w:lineRule="auto"/>
        <w:ind w:left="120" w:firstLine="480" w:firstLineChars="200"/>
        <w:rPr>
          <w:rFonts w:ascii="宋体" w:hAnsi="宋体"/>
          <w:sz w:val="24"/>
        </w:rPr>
      </w:pPr>
      <w:r>
        <w:rPr>
          <w:rFonts w:hint="eastAsia" w:ascii="宋体" w:hAnsi="宋体"/>
          <w:sz w:val="24"/>
        </w:rPr>
        <w:t>3.服务运作方案的详细说明。</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（二）运输招标</w:t>
      </w:r>
      <w:r>
        <w:rPr>
          <w:rFonts w:hint="eastAsia" w:ascii="宋体" w:hAnsi="宋体"/>
          <w:b/>
          <w:bCs/>
          <w:sz w:val="24"/>
        </w:rPr>
        <w:t>参与者风险承担能力</w:t>
      </w:r>
    </w:p>
    <w:p>
      <w:pPr>
        <w:tabs>
          <w:tab w:val="left" w:pos="2790"/>
        </w:tabs>
        <w:spacing w:line="360" w:lineRule="auto"/>
        <w:ind w:left="120" w:firstLine="480" w:firstLineChars="200"/>
        <w:rPr>
          <w:rFonts w:ascii="宋体" w:hAnsi="宋体"/>
          <w:sz w:val="24"/>
        </w:rPr>
      </w:pPr>
      <w:r>
        <w:rPr>
          <w:rFonts w:hint="eastAsia" w:ascii="宋体" w:hAnsi="宋体"/>
          <w:sz w:val="24"/>
        </w:rPr>
        <w:t>1.承运货物出险后，赔偿的时效及赔付能力；</w:t>
      </w:r>
    </w:p>
    <w:p>
      <w:pPr>
        <w:tabs>
          <w:tab w:val="left" w:pos="2790"/>
        </w:tabs>
        <w:spacing w:line="360" w:lineRule="auto"/>
        <w:ind w:left="120" w:firstLine="480" w:firstLineChars="200"/>
        <w:rPr>
          <w:rFonts w:ascii="宋体" w:hAnsi="宋体"/>
          <w:sz w:val="24"/>
        </w:rPr>
      </w:pPr>
      <w:r>
        <w:rPr>
          <w:rFonts w:hint="eastAsia" w:ascii="宋体" w:hAnsi="宋体"/>
          <w:sz w:val="24"/>
        </w:rPr>
        <w:t>2.承运货物出险后，间接损失的认同及赔付能力；</w:t>
      </w:r>
    </w:p>
    <w:p>
      <w:pPr>
        <w:tabs>
          <w:tab w:val="left" w:pos="2790"/>
        </w:tabs>
        <w:spacing w:line="360" w:lineRule="auto"/>
        <w:ind w:left="120" w:firstLine="480" w:firstLineChars="200"/>
        <w:rPr>
          <w:rFonts w:ascii="宋体" w:hAnsi="宋体"/>
          <w:sz w:val="24"/>
        </w:rPr>
      </w:pPr>
      <w:r>
        <w:rPr>
          <w:rFonts w:hint="eastAsia" w:ascii="宋体" w:hAnsi="宋体"/>
          <w:sz w:val="24"/>
        </w:rPr>
        <w:t>3.货物存储过程中出险后，赔偿的时效、确认及赔付能力。</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（三）运输招标</w:t>
      </w:r>
      <w:r>
        <w:rPr>
          <w:rFonts w:hint="eastAsia" w:ascii="宋体" w:hAnsi="宋体"/>
          <w:b/>
          <w:bCs/>
          <w:sz w:val="24"/>
        </w:rPr>
        <w:t>参与者内部管理</w:t>
      </w:r>
    </w:p>
    <w:p>
      <w:pPr>
        <w:tabs>
          <w:tab w:val="left" w:pos="2790"/>
        </w:tabs>
        <w:spacing w:line="360" w:lineRule="auto"/>
        <w:ind w:left="120" w:firstLine="480" w:firstLineChars="200"/>
        <w:rPr>
          <w:rFonts w:ascii="宋体" w:hAnsi="宋体"/>
          <w:b/>
          <w:sz w:val="24"/>
        </w:rPr>
      </w:pPr>
      <w:r>
        <w:rPr>
          <w:rFonts w:hint="eastAsia" w:ascii="宋体" w:hAnsi="宋体"/>
          <w:sz w:val="24"/>
        </w:rPr>
        <w:t>运输招标参与者需提供有关的财务制度、库房管理制度、车辆管理制度、司机管理制度、客户服务管理制度、分供方管理制度等的副本。</w:t>
      </w:r>
    </w:p>
    <w:p>
      <w:pPr>
        <w:tabs>
          <w:tab w:val="left" w:pos="2790"/>
        </w:tabs>
        <w:spacing w:line="360" w:lineRule="auto"/>
        <w:ind w:left="120" w:firstLine="482" w:firstLineChars="200"/>
        <w:rPr>
          <w:rFonts w:ascii="宋体" w:hAnsi="宋体"/>
          <w:b/>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（四）</w:t>
      </w:r>
      <w:r>
        <w:rPr>
          <w:rFonts w:hint="eastAsia" w:ascii="宋体" w:hAnsi="宋体"/>
          <w:b/>
          <w:bCs/>
          <w:sz w:val="24"/>
        </w:rPr>
        <w:t>信息反馈</w:t>
      </w:r>
    </w:p>
    <w:p>
      <w:pPr>
        <w:tabs>
          <w:tab w:val="left" w:pos="2790"/>
        </w:tabs>
        <w:spacing w:line="360" w:lineRule="auto"/>
        <w:ind w:left="120" w:firstLine="480" w:firstLineChars="200"/>
        <w:rPr>
          <w:rFonts w:ascii="宋体" w:hAnsi="宋体"/>
          <w:sz w:val="24"/>
        </w:rPr>
      </w:pPr>
      <w:r>
        <w:rPr>
          <w:rFonts w:hint="eastAsia" w:ascii="宋体" w:hAnsi="宋体"/>
          <w:sz w:val="24"/>
        </w:rPr>
        <w:t>1. 运输招标参与者按照公司现状如实编写信息反馈是如何做的，并做详细说明。</w:t>
      </w:r>
    </w:p>
    <w:p>
      <w:pPr>
        <w:tabs>
          <w:tab w:val="left" w:pos="2790"/>
        </w:tabs>
        <w:spacing w:line="360" w:lineRule="auto"/>
        <w:ind w:left="120" w:firstLine="480" w:firstLineChars="200"/>
        <w:rPr>
          <w:rFonts w:ascii="宋体" w:hAnsi="宋体"/>
          <w:sz w:val="24"/>
        </w:rPr>
      </w:pPr>
      <w:r>
        <w:rPr>
          <w:rFonts w:hint="eastAsia" w:ascii="宋体" w:hAnsi="宋体"/>
          <w:sz w:val="24"/>
        </w:rPr>
        <w:t>2.如何保证突发事件信息及时反馈。</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（五）运输要求</w:t>
      </w:r>
    </w:p>
    <w:p>
      <w:pPr>
        <w:tabs>
          <w:tab w:val="left" w:pos="2790"/>
        </w:tabs>
        <w:spacing w:line="360" w:lineRule="auto"/>
        <w:ind w:left="120" w:firstLine="480" w:firstLineChars="200"/>
        <w:rPr>
          <w:rFonts w:ascii="宋体" w:hAnsi="宋体"/>
          <w:sz w:val="24"/>
        </w:rPr>
      </w:pPr>
      <w:r>
        <w:rPr>
          <w:rFonts w:hint="eastAsia" w:ascii="宋体" w:hAnsi="宋体"/>
          <w:sz w:val="24"/>
        </w:rPr>
        <w:t>1. 运输招标参与者要有已建立完善的程序、取得和选择的车辆符合我司的相关要求。车辆是否受交通管制，能否保证在大城市24小时内畅通无阻（特殊管制除外）。公路运输：自有及固定使用车辆数量（按载重分类）、性能、车辆的使用年限。铁路运输：自有集装箱及固定集装箱数量（按载重分类），向有关铁路部门申请到车皮的反应时长（以天计算）。</w:t>
      </w:r>
    </w:p>
    <w:p>
      <w:pPr>
        <w:tabs>
          <w:tab w:val="left" w:pos="2790"/>
        </w:tabs>
        <w:spacing w:line="360" w:lineRule="auto"/>
        <w:ind w:left="120" w:firstLine="480" w:firstLineChars="200"/>
        <w:rPr>
          <w:rFonts w:ascii="宋体" w:hAnsi="宋体"/>
          <w:sz w:val="24"/>
        </w:rPr>
      </w:pPr>
      <w:r>
        <w:rPr>
          <w:rFonts w:hint="eastAsia" w:ascii="宋体" w:hAnsi="宋体"/>
          <w:sz w:val="24"/>
        </w:rPr>
        <w:t>2.运输车辆在运输招标参与人提交运输招标文件时，由初次登记日算，不能超过3年。以下证件交给我司备案：车辆登记证的复印件；车辆跟踪监控系统，如合同、安装文件资料、手册（登记本）、电子记录和跟踪视屏截图；</w:t>
      </w:r>
    </w:p>
    <w:p>
      <w:pPr>
        <w:tabs>
          <w:tab w:val="left" w:pos="2790"/>
        </w:tabs>
        <w:spacing w:line="360" w:lineRule="auto"/>
        <w:ind w:left="120" w:firstLine="480" w:firstLineChars="200"/>
        <w:rPr>
          <w:rFonts w:ascii="宋体" w:hAnsi="宋体"/>
          <w:sz w:val="24"/>
        </w:rPr>
      </w:pPr>
      <w:r>
        <w:rPr>
          <w:rFonts w:hint="eastAsia" w:ascii="宋体" w:hAnsi="宋体"/>
          <w:sz w:val="24"/>
        </w:rPr>
        <w:t>通讯设备：运输招标参与者要保证所有卡车上均装有移动电话或无线电话。</w:t>
      </w:r>
    </w:p>
    <w:p>
      <w:pPr>
        <w:tabs>
          <w:tab w:val="left" w:pos="2790"/>
        </w:tabs>
        <w:spacing w:line="360" w:lineRule="auto"/>
        <w:ind w:left="120" w:firstLine="480" w:firstLineChars="200"/>
        <w:rPr>
          <w:rFonts w:ascii="宋体" w:hAnsi="宋体"/>
          <w:bCs/>
          <w:sz w:val="24"/>
        </w:rPr>
      </w:pPr>
      <w:r>
        <w:rPr>
          <w:rFonts w:hint="eastAsia" w:ascii="宋体" w:hAnsi="宋体"/>
          <w:sz w:val="24"/>
        </w:rPr>
        <w:t>3.</w:t>
      </w:r>
      <w:r>
        <w:rPr>
          <w:rFonts w:hint="eastAsia" w:ascii="宋体" w:hAnsi="宋体"/>
          <w:bCs/>
          <w:sz w:val="24"/>
        </w:rPr>
        <w:t>运输相关指标：及时装出率、及时送达率、回单及时率、未按时提交准确报表率、未及时反馈物流事故率、客户投诉率等指标。</w:t>
      </w:r>
    </w:p>
    <w:p>
      <w:pPr>
        <w:tabs>
          <w:tab w:val="left" w:pos="2790"/>
        </w:tabs>
        <w:spacing w:line="360" w:lineRule="auto"/>
        <w:ind w:left="120" w:firstLine="480" w:firstLineChars="200"/>
        <w:rPr>
          <w:rFonts w:ascii="宋体" w:hAnsi="宋体"/>
          <w:sz w:val="24"/>
        </w:rPr>
      </w:pPr>
      <w:r>
        <w:rPr>
          <w:rFonts w:hint="eastAsia" w:ascii="宋体" w:hAnsi="宋体"/>
          <w:sz w:val="24"/>
        </w:rPr>
        <w:t>具体标准如下：</w:t>
      </w:r>
    </w:p>
    <w:tbl>
      <w:tblPr>
        <w:tblStyle w:val="19"/>
        <w:tblW w:w="10490" w:type="dxa"/>
        <w:tblInd w:w="-743" w:type="dxa"/>
        <w:tblLayout w:type="fixed"/>
        <w:tblCellMar>
          <w:top w:w="0" w:type="dxa"/>
          <w:left w:w="108" w:type="dxa"/>
          <w:bottom w:w="0" w:type="dxa"/>
          <w:right w:w="108" w:type="dxa"/>
        </w:tblCellMar>
      </w:tblPr>
      <w:tblGrid>
        <w:gridCol w:w="1277"/>
        <w:gridCol w:w="1984"/>
        <w:gridCol w:w="3299"/>
        <w:gridCol w:w="1662"/>
        <w:gridCol w:w="1134"/>
        <w:gridCol w:w="1134"/>
      </w:tblGrid>
      <w:tr>
        <w:tblPrEx>
          <w:tblCellMar>
            <w:top w:w="0" w:type="dxa"/>
            <w:left w:w="108" w:type="dxa"/>
            <w:bottom w:w="0" w:type="dxa"/>
            <w:right w:w="108" w:type="dxa"/>
          </w:tblCellMar>
        </w:tblPrEx>
        <w:trPr>
          <w:trHeight w:val="468" w:hRule="atLeast"/>
        </w:trPr>
        <w:tc>
          <w:tcPr>
            <w:tcW w:w="10490" w:type="dxa"/>
            <w:gridSpan w:val="6"/>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安徽丰原医药营销有限公司道路运输考核KPI</w:t>
            </w:r>
          </w:p>
        </w:tc>
      </w:tr>
      <w:tr>
        <w:tblPrEx>
          <w:tblCellMar>
            <w:top w:w="0" w:type="dxa"/>
            <w:left w:w="108" w:type="dxa"/>
            <w:bottom w:w="0" w:type="dxa"/>
            <w:right w:w="108" w:type="dxa"/>
          </w:tblCellMar>
        </w:tblPrEx>
        <w:trPr>
          <w:trHeight w:val="432" w:hRule="atLeast"/>
        </w:trPr>
        <w:tc>
          <w:tcPr>
            <w:tcW w:w="1277" w:type="dxa"/>
            <w:tcBorders>
              <w:top w:val="nil"/>
              <w:left w:val="single" w:color="auto" w:sz="8" w:space="0"/>
              <w:bottom w:val="single" w:color="auto" w:sz="4" w:space="0"/>
              <w:right w:val="single" w:color="auto" w:sz="4"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KPI</w:t>
            </w:r>
          </w:p>
        </w:tc>
        <w:tc>
          <w:tcPr>
            <w:tcW w:w="1984"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定义</w:t>
            </w:r>
          </w:p>
        </w:tc>
        <w:tc>
          <w:tcPr>
            <w:tcW w:w="3299"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衡量标准</w:t>
            </w:r>
          </w:p>
        </w:tc>
        <w:tc>
          <w:tcPr>
            <w:tcW w:w="1662"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计算公式</w:t>
            </w:r>
          </w:p>
        </w:tc>
        <w:tc>
          <w:tcPr>
            <w:tcW w:w="1134"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考核标准</w:t>
            </w:r>
          </w:p>
        </w:tc>
        <w:tc>
          <w:tcPr>
            <w:tcW w:w="1134" w:type="dxa"/>
            <w:tcBorders>
              <w:top w:val="nil"/>
              <w:left w:val="nil"/>
              <w:bottom w:val="single" w:color="auto" w:sz="4" w:space="0"/>
              <w:right w:val="single" w:color="auto" w:sz="8" w:space="0"/>
            </w:tcBorders>
            <w:shd w:val="clear" w:color="000000" w:fill="D8D8D8"/>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考核周期</w:t>
            </w:r>
          </w:p>
        </w:tc>
      </w:tr>
      <w:tr>
        <w:tblPrEx>
          <w:tblCellMar>
            <w:top w:w="0" w:type="dxa"/>
            <w:left w:w="108" w:type="dxa"/>
            <w:bottom w:w="0" w:type="dxa"/>
            <w:right w:w="108" w:type="dxa"/>
          </w:tblCellMar>
        </w:tblPrEx>
        <w:trPr>
          <w:trHeight w:val="1224" w:hRule="atLeast"/>
        </w:trPr>
        <w:tc>
          <w:tcPr>
            <w:tcW w:w="127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及时送达率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指定财务账期内，在规定时间内送达单量占计划发运总单量的比例。</w:t>
            </w:r>
          </w:p>
        </w:tc>
        <w:tc>
          <w:tcPr>
            <w:tcW w:w="3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OTD时间，指承运商承诺运输在途时间即实物发货-客户签收。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干线，包括直发客户和调拨；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时间统计区间为：创建交货-客户签收；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时效及时标准：汽运OTD+3个日历日； 海运OTD+5个日历日；铁运OTD+7个日历日。</w:t>
            </w:r>
          </w:p>
        </w:tc>
        <w:tc>
          <w:tcPr>
            <w:tcW w:w="1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及时送达率(依订单)=按时送达订单数量÷计划发运订单总数量×100%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每天统计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每月统计</w:t>
            </w:r>
          </w:p>
        </w:tc>
      </w:tr>
      <w:tr>
        <w:tblPrEx>
          <w:tblCellMar>
            <w:top w:w="0" w:type="dxa"/>
            <w:left w:w="108" w:type="dxa"/>
            <w:bottom w:w="0" w:type="dxa"/>
            <w:right w:w="108" w:type="dxa"/>
          </w:tblCellMar>
        </w:tblPrEx>
        <w:trPr>
          <w:trHeight w:val="1020" w:hRule="atLeast"/>
        </w:trPr>
        <w:tc>
          <w:tcPr>
            <w:tcW w:w="127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回单及时率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指定财务账期内，在规定时间内交货单回单数量占计划发运交货单总单量的比例。</w:t>
            </w:r>
          </w:p>
        </w:tc>
        <w:tc>
          <w:tcPr>
            <w:tcW w:w="3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OTD 时间，指承运商承诺运输在途时间即实物发货-客户签收。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KA回单时效要求：同城OTD+72小时；异地OTD+7；</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DT回单时效要求：次月15日前。</w:t>
            </w:r>
          </w:p>
        </w:tc>
        <w:tc>
          <w:tcPr>
            <w:tcW w:w="1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回单及时率=标准回单时间内返回的订单数量÷订单总数量×100%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每天统计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每月统计</w:t>
            </w:r>
          </w:p>
        </w:tc>
      </w:tr>
      <w:tr>
        <w:tblPrEx>
          <w:tblCellMar>
            <w:top w:w="0" w:type="dxa"/>
            <w:left w:w="108" w:type="dxa"/>
            <w:bottom w:w="0" w:type="dxa"/>
            <w:right w:w="108" w:type="dxa"/>
          </w:tblCellMar>
        </w:tblPrEx>
        <w:trPr>
          <w:trHeight w:val="1632" w:hRule="atLeast"/>
        </w:trPr>
        <w:tc>
          <w:tcPr>
            <w:tcW w:w="127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未按时提交准确报表率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丰原根据物流管理需要确定报表格式、内容定义和提报时限。</w:t>
            </w:r>
          </w:p>
        </w:tc>
        <w:tc>
          <w:tcPr>
            <w:tcW w:w="3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处罚标准：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经核查承运商提供报表错误一次视情节严重而定单次至少罚款100元，对因报表提报错误导致丰原内部信息判读错误，视其情况严重而定具体罚款金额；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承运商未按照丰原要求时间提报需提前沟通，如无沟通晚报，影响丰原正常数据统计及操作，即处以50元/次罚款。</w:t>
            </w:r>
          </w:p>
        </w:tc>
        <w:tc>
          <w:tcPr>
            <w:tcW w:w="1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不及时或错误报表次数。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每天统计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每月统计</w:t>
            </w:r>
          </w:p>
        </w:tc>
      </w:tr>
      <w:tr>
        <w:tblPrEx>
          <w:tblCellMar>
            <w:top w:w="0" w:type="dxa"/>
            <w:left w:w="108" w:type="dxa"/>
            <w:bottom w:w="0" w:type="dxa"/>
            <w:right w:w="108" w:type="dxa"/>
          </w:tblCellMar>
        </w:tblPrEx>
        <w:trPr>
          <w:trHeight w:val="972" w:hRule="atLeast"/>
        </w:trPr>
        <w:tc>
          <w:tcPr>
            <w:tcW w:w="1277"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未及时反馈物流事故率</w:t>
            </w:r>
          </w:p>
        </w:tc>
        <w:tc>
          <w:tcPr>
            <w:tcW w:w="19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运作中出现物流事故，承运商需第一时间向中粮反馈。</w:t>
            </w:r>
          </w:p>
        </w:tc>
        <w:tc>
          <w:tcPr>
            <w:tcW w:w="3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处罚标准：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承运商物流事故未及时反馈，被发现一次，单次至少罚款1000元。对因此事故导致丰原损失者，视情况严重而定具体罚款金额。</w:t>
            </w:r>
          </w:p>
        </w:tc>
        <w:tc>
          <w:tcPr>
            <w:tcW w:w="16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出现物流事故后未及时反馈次数。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134"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每月统计</w:t>
            </w:r>
          </w:p>
        </w:tc>
      </w:tr>
      <w:tr>
        <w:tblPrEx>
          <w:tblCellMar>
            <w:top w:w="0" w:type="dxa"/>
            <w:left w:w="108" w:type="dxa"/>
            <w:bottom w:w="0" w:type="dxa"/>
            <w:right w:w="108" w:type="dxa"/>
          </w:tblCellMar>
        </w:tblPrEx>
        <w:trPr>
          <w:trHeight w:val="420" w:hRule="atLeast"/>
        </w:trPr>
        <w:tc>
          <w:tcPr>
            <w:tcW w:w="1277" w:type="dxa"/>
            <w:tcBorders>
              <w:top w:val="nil"/>
              <w:left w:val="single" w:color="auto" w:sz="8" w:space="0"/>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客户</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投诉</w:t>
            </w:r>
          </w:p>
        </w:tc>
        <w:tc>
          <w:tcPr>
            <w:tcW w:w="1984"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一个统计周期内，客户投诉次数</w:t>
            </w:r>
          </w:p>
        </w:tc>
        <w:tc>
          <w:tcPr>
            <w:tcW w:w="3299"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无论丰原内部客户还是生意客户，对物流商投诉一次，一经核实，即为一次投诉。</w:t>
            </w:r>
          </w:p>
        </w:tc>
        <w:tc>
          <w:tcPr>
            <w:tcW w:w="1662"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w:t>
            </w:r>
          </w:p>
        </w:tc>
        <w:tc>
          <w:tcPr>
            <w:tcW w:w="1134"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w:t>
            </w:r>
          </w:p>
        </w:tc>
        <w:tc>
          <w:tcPr>
            <w:tcW w:w="1134" w:type="dxa"/>
            <w:tcBorders>
              <w:top w:val="nil"/>
              <w:left w:val="nil"/>
              <w:bottom w:val="nil"/>
              <w:right w:val="single" w:color="auto"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每月统计</w:t>
            </w:r>
          </w:p>
        </w:tc>
      </w:tr>
      <w:tr>
        <w:tblPrEx>
          <w:tblCellMar>
            <w:top w:w="0" w:type="dxa"/>
            <w:left w:w="108" w:type="dxa"/>
            <w:bottom w:w="0" w:type="dxa"/>
            <w:right w:w="108" w:type="dxa"/>
          </w:tblCellMar>
        </w:tblPrEx>
        <w:trPr>
          <w:trHeight w:val="420" w:hRule="atLeast"/>
        </w:trPr>
        <w:tc>
          <w:tcPr>
            <w:tcW w:w="1277"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98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3299"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662"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13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13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kern w:val="0"/>
                <w:sz w:val="18"/>
                <w:szCs w:val="18"/>
              </w:rPr>
            </w:pPr>
          </w:p>
        </w:tc>
      </w:tr>
    </w:tbl>
    <w:p>
      <w:pPr>
        <w:spacing w:line="360" w:lineRule="auto"/>
        <w:rPr>
          <w:rFonts w:ascii="宋体" w:hAnsi="宋体"/>
          <w:sz w:val="24"/>
        </w:rPr>
      </w:pPr>
    </w:p>
    <w:p>
      <w:pPr>
        <w:tabs>
          <w:tab w:val="left" w:pos="0"/>
        </w:tabs>
        <w:spacing w:line="360" w:lineRule="auto"/>
        <w:ind w:left="120" w:firstLine="480" w:firstLineChars="200"/>
        <w:rPr>
          <w:rFonts w:ascii="宋体" w:hAnsi="宋体"/>
          <w:sz w:val="24"/>
        </w:rPr>
      </w:pPr>
      <w:r>
        <w:rPr>
          <w:rFonts w:hint="eastAsia" w:ascii="宋体" w:hAnsi="宋体"/>
          <w:sz w:val="24"/>
        </w:rPr>
        <w:t>4. 运输招标参与者应详细说明出现运量突增、政策变化、经济环境变化、分供方异常等现象时的紧急处理预案。尤其是中秋及春节等节日销售旺季，如何保障汽运车辆、铁路运输车皮等运输资源。</w:t>
      </w:r>
    </w:p>
    <w:p>
      <w:pPr>
        <w:tabs>
          <w:tab w:val="left" w:pos="0"/>
        </w:tabs>
        <w:spacing w:line="360" w:lineRule="auto"/>
        <w:ind w:left="120" w:firstLine="480" w:firstLineChars="200"/>
        <w:rPr>
          <w:rFonts w:ascii="宋体" w:hAnsi="宋体"/>
          <w:sz w:val="24"/>
        </w:rPr>
      </w:pPr>
      <w:r>
        <w:rPr>
          <w:rFonts w:hint="eastAsia" w:ascii="宋体" w:hAnsi="宋体"/>
          <w:sz w:val="24"/>
        </w:rPr>
        <w:t>5. 运输招标入围参与者需积极配合我司透明运输管理项目，按照操作系统进行派车及车辆、司机信息反馈等。</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（六）商品安全保证措施</w:t>
      </w:r>
    </w:p>
    <w:p>
      <w:pPr>
        <w:tabs>
          <w:tab w:val="left" w:pos="2790"/>
        </w:tabs>
        <w:spacing w:line="360" w:lineRule="auto"/>
        <w:ind w:left="120" w:firstLine="480" w:firstLineChars="200"/>
        <w:rPr>
          <w:rFonts w:ascii="宋体" w:hAnsi="宋体"/>
          <w:sz w:val="24"/>
        </w:rPr>
      </w:pPr>
      <w:r>
        <w:rPr>
          <w:rFonts w:hint="eastAsia" w:ascii="宋体" w:hAnsi="宋体"/>
          <w:sz w:val="24"/>
        </w:rPr>
        <w:t>1.详细说明如何控制因操作或人为原因造成的货物（包括外观）破损。</w:t>
      </w:r>
    </w:p>
    <w:p>
      <w:pPr>
        <w:tabs>
          <w:tab w:val="left" w:pos="2790"/>
        </w:tabs>
        <w:spacing w:line="360" w:lineRule="auto"/>
        <w:ind w:left="120" w:firstLine="480" w:firstLineChars="200"/>
        <w:rPr>
          <w:rFonts w:ascii="宋体" w:hAnsi="宋体"/>
          <w:sz w:val="24"/>
        </w:rPr>
      </w:pPr>
      <w:r>
        <w:rPr>
          <w:rFonts w:hint="eastAsia" w:ascii="宋体" w:hAnsi="宋体"/>
          <w:sz w:val="24"/>
        </w:rPr>
        <w:t>2.详细说明如何保证车辆正常运行的措施（如：车辆维修周期等）。</w:t>
      </w:r>
    </w:p>
    <w:p>
      <w:pPr>
        <w:tabs>
          <w:tab w:val="left" w:pos="2790"/>
        </w:tabs>
        <w:spacing w:line="360" w:lineRule="auto"/>
        <w:ind w:left="120" w:firstLine="480" w:firstLineChars="200"/>
        <w:rPr>
          <w:rFonts w:ascii="宋体" w:hAnsi="宋体"/>
          <w:sz w:val="24"/>
        </w:rPr>
      </w:pPr>
      <w:r>
        <w:rPr>
          <w:rFonts w:hint="eastAsia" w:ascii="宋体" w:hAnsi="宋体"/>
          <w:sz w:val="24"/>
        </w:rPr>
        <w:t>3.如何保证货物交接现场监控力度。</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b/>
          <w:sz w:val="24"/>
        </w:rPr>
      </w:pPr>
      <w:r>
        <w:rPr>
          <w:rFonts w:hint="eastAsia" w:ascii="宋体" w:hAnsi="宋体"/>
          <w:b/>
          <w:sz w:val="24"/>
        </w:rPr>
        <w:t>（七）</w:t>
      </w:r>
      <w:r>
        <w:rPr>
          <w:rFonts w:hint="eastAsia" w:ascii="宋体" w:hAnsi="宋体"/>
          <w:b/>
          <w:bCs/>
          <w:sz w:val="24"/>
        </w:rPr>
        <w:t>运输周期</w:t>
      </w:r>
    </w:p>
    <w:p>
      <w:pPr>
        <w:tabs>
          <w:tab w:val="left" w:pos="2790"/>
        </w:tabs>
        <w:spacing w:line="360" w:lineRule="auto"/>
        <w:ind w:left="120" w:firstLine="480" w:firstLineChars="200"/>
        <w:rPr>
          <w:rFonts w:ascii="宋体" w:hAnsi="宋体"/>
          <w:sz w:val="24"/>
        </w:rPr>
      </w:pPr>
      <w:r>
        <w:rPr>
          <w:rFonts w:hint="eastAsia" w:ascii="宋体" w:hAnsi="宋体"/>
          <w:sz w:val="24"/>
        </w:rPr>
        <w:t>1.提货车辆响应速度。公路运输：一般接到发货通知后，多长时间车辆可到达指定发货地点等；铁路运输：一般接到发货通知后，多长时间申请到车皮等。</w:t>
      </w:r>
    </w:p>
    <w:p>
      <w:pPr>
        <w:tabs>
          <w:tab w:val="left" w:pos="2790"/>
        </w:tabs>
        <w:spacing w:line="360" w:lineRule="auto"/>
        <w:ind w:left="120" w:firstLine="480" w:firstLineChars="200"/>
        <w:rPr>
          <w:rFonts w:ascii="宋体" w:hAnsi="宋体"/>
          <w:sz w:val="24"/>
        </w:rPr>
      </w:pPr>
      <w:r>
        <w:rPr>
          <w:rFonts w:hint="eastAsia" w:ascii="宋体" w:hAnsi="宋体"/>
          <w:sz w:val="24"/>
        </w:rPr>
        <w:t>2.在途车辆、车皮的时效保障。</w:t>
      </w:r>
    </w:p>
    <w:p>
      <w:pPr>
        <w:tabs>
          <w:tab w:val="left" w:pos="2790"/>
        </w:tabs>
        <w:spacing w:line="360" w:lineRule="auto"/>
        <w:ind w:left="120" w:firstLine="480" w:firstLineChars="200"/>
        <w:rPr>
          <w:rFonts w:ascii="宋体" w:hAnsi="宋体"/>
          <w:sz w:val="24"/>
        </w:rPr>
      </w:pPr>
      <w:r>
        <w:rPr>
          <w:rFonts w:hint="eastAsia" w:ascii="宋体" w:hAnsi="宋体"/>
          <w:sz w:val="24"/>
        </w:rPr>
        <w:t>3.到货时效。</w:t>
      </w:r>
    </w:p>
    <w:p>
      <w:pPr>
        <w:tabs>
          <w:tab w:val="left" w:pos="2790"/>
        </w:tabs>
        <w:spacing w:line="360" w:lineRule="auto"/>
        <w:ind w:left="120" w:firstLine="480" w:firstLineChars="200"/>
        <w:rPr>
          <w:rFonts w:ascii="宋体" w:hAnsi="宋体"/>
          <w:sz w:val="24"/>
        </w:rPr>
      </w:pPr>
    </w:p>
    <w:p>
      <w:pPr>
        <w:tabs>
          <w:tab w:val="left" w:pos="2790"/>
        </w:tabs>
        <w:spacing w:line="360" w:lineRule="auto"/>
        <w:ind w:left="120" w:firstLine="482" w:firstLineChars="200"/>
        <w:rPr>
          <w:rFonts w:ascii="宋体" w:hAnsi="宋体"/>
          <w:sz w:val="24"/>
        </w:rPr>
      </w:pPr>
      <w:r>
        <w:rPr>
          <w:rFonts w:hint="eastAsia" w:ascii="宋体" w:hAnsi="宋体"/>
          <w:b/>
          <w:sz w:val="24"/>
        </w:rPr>
        <w:t>（八）回单签收及返回</w:t>
      </w:r>
    </w:p>
    <w:p>
      <w:pPr>
        <w:tabs>
          <w:tab w:val="left" w:pos="2790"/>
        </w:tabs>
        <w:spacing w:line="360" w:lineRule="auto"/>
        <w:ind w:left="120" w:firstLine="480" w:firstLineChars="200"/>
        <w:rPr>
          <w:rFonts w:ascii="宋体" w:hAnsi="宋体"/>
          <w:sz w:val="24"/>
        </w:rPr>
      </w:pPr>
      <w:r>
        <w:rPr>
          <w:rFonts w:hint="eastAsia" w:ascii="宋体" w:hAnsi="宋体"/>
          <w:sz w:val="24"/>
        </w:rPr>
        <w:t>1.</w:t>
      </w:r>
      <w:r>
        <w:rPr>
          <w:rFonts w:hint="eastAsia" w:ascii="宋体" w:hAnsi="宋体"/>
          <w:bCs/>
          <w:sz w:val="24"/>
        </w:rPr>
        <w:t>回单按安徽丰原医药营销有限公司签收方法执行。</w:t>
      </w:r>
    </w:p>
    <w:p>
      <w:pPr>
        <w:tabs>
          <w:tab w:val="left" w:pos="2790"/>
        </w:tabs>
        <w:spacing w:line="360" w:lineRule="auto"/>
        <w:ind w:left="120" w:firstLine="480" w:firstLineChars="200"/>
        <w:rPr>
          <w:rFonts w:ascii="宋体" w:hAnsi="宋体"/>
          <w:sz w:val="24"/>
        </w:rPr>
      </w:pPr>
      <w:r>
        <w:rPr>
          <w:rFonts w:hint="eastAsia" w:ascii="宋体" w:hAnsi="宋体"/>
          <w:sz w:val="24"/>
        </w:rPr>
        <w:t>2.</w:t>
      </w:r>
      <w:r>
        <w:rPr>
          <w:rFonts w:hint="eastAsia" w:ascii="宋体" w:hAnsi="宋体"/>
          <w:bCs/>
          <w:sz w:val="24"/>
        </w:rPr>
        <w:t>回单时效：OTD时间指承运商承诺运输在途时间，即“实物发货至客户签收”。</w:t>
      </w:r>
    </w:p>
    <w:p>
      <w:pPr>
        <w:tabs>
          <w:tab w:val="left" w:pos="2790"/>
        </w:tabs>
        <w:spacing w:line="360" w:lineRule="auto"/>
        <w:ind w:left="120" w:firstLine="480" w:firstLineChars="200"/>
        <w:rPr>
          <w:rFonts w:ascii="宋体" w:hAnsi="宋体"/>
          <w:bCs/>
          <w:sz w:val="24"/>
        </w:rPr>
      </w:pPr>
      <w:r>
        <w:rPr>
          <w:rFonts w:hint="eastAsia" w:ascii="宋体" w:hAnsi="宋体"/>
          <w:sz w:val="24"/>
        </w:rPr>
        <w:t>3.</w:t>
      </w:r>
      <w:r>
        <w:rPr>
          <w:rFonts w:hint="eastAsia" w:ascii="宋体" w:hAnsi="宋体"/>
          <w:bCs/>
          <w:sz w:val="24"/>
        </w:rPr>
        <w:t>KA回单时效要求：同城OTD+72小时；异地OTD+7；</w:t>
      </w:r>
    </w:p>
    <w:p>
      <w:pPr>
        <w:tabs>
          <w:tab w:val="left" w:pos="2790"/>
        </w:tabs>
        <w:spacing w:line="360" w:lineRule="auto"/>
        <w:ind w:left="120" w:firstLine="720" w:firstLineChars="300"/>
        <w:rPr>
          <w:rFonts w:ascii="宋体" w:hAnsi="宋体"/>
          <w:sz w:val="24"/>
        </w:rPr>
      </w:pPr>
      <w:r>
        <w:rPr>
          <w:rFonts w:hint="eastAsia" w:ascii="宋体" w:hAnsi="宋体"/>
          <w:bCs/>
          <w:sz w:val="24"/>
        </w:rPr>
        <w:t>DT回单时效要求：次月15日前。</w:t>
      </w:r>
    </w:p>
    <w:p>
      <w:pPr>
        <w:tabs>
          <w:tab w:val="left" w:pos="2790"/>
        </w:tabs>
        <w:spacing w:line="360" w:lineRule="auto"/>
        <w:ind w:left="120" w:firstLine="720" w:firstLineChars="300"/>
        <w:rPr>
          <w:rFonts w:ascii="宋体" w:hAnsi="宋体"/>
          <w:sz w:val="24"/>
        </w:rPr>
      </w:pPr>
    </w:p>
    <w:p>
      <w:pPr>
        <w:tabs>
          <w:tab w:val="left" w:pos="2790"/>
        </w:tabs>
        <w:spacing w:line="360" w:lineRule="auto"/>
        <w:ind w:left="120" w:firstLine="723" w:firstLineChars="300"/>
        <w:rPr>
          <w:rFonts w:ascii="宋体" w:hAnsi="宋体"/>
          <w:b/>
          <w:sz w:val="24"/>
        </w:rPr>
      </w:pPr>
      <w:r>
        <w:rPr>
          <w:rFonts w:hint="eastAsia" w:ascii="宋体" w:hAnsi="宋体"/>
          <w:b/>
          <w:sz w:val="24"/>
        </w:rPr>
        <w:t>（九）</w:t>
      </w:r>
      <w:r>
        <w:rPr>
          <w:rFonts w:hint="eastAsia" w:ascii="宋体" w:hAnsi="宋体"/>
          <w:b/>
          <w:bCs/>
          <w:sz w:val="24"/>
        </w:rPr>
        <w:t>运输费用</w:t>
      </w:r>
    </w:p>
    <w:p>
      <w:pPr>
        <w:tabs>
          <w:tab w:val="left" w:pos="2790"/>
        </w:tabs>
        <w:spacing w:line="360" w:lineRule="auto"/>
        <w:ind w:left="120" w:firstLine="720" w:firstLineChars="300"/>
        <w:rPr>
          <w:rFonts w:ascii="宋体" w:hAnsi="宋体"/>
          <w:b/>
          <w:sz w:val="24"/>
        </w:rPr>
      </w:pPr>
      <w:r>
        <w:rPr>
          <w:rFonts w:hint="eastAsia" w:ascii="宋体" w:hAnsi="宋体"/>
          <w:sz w:val="24"/>
        </w:rPr>
        <w:t>1. 运输招标</w:t>
      </w:r>
      <w:r>
        <w:rPr>
          <w:rFonts w:hint="eastAsia"/>
          <w:sz w:val="24"/>
        </w:rPr>
        <w:t>书中的公路运输、铁路运输等报价，均指含货物运输保险价格。</w:t>
      </w:r>
      <w:r>
        <w:rPr>
          <w:rFonts w:hint="eastAsia" w:ascii="宋体" w:hAnsi="宋体"/>
          <w:sz w:val="24"/>
        </w:rPr>
        <w:t>运输招标参与者</w:t>
      </w:r>
      <w:r>
        <w:rPr>
          <w:rFonts w:hint="eastAsia"/>
          <w:sz w:val="24"/>
        </w:rPr>
        <w:t>必须在承运期间内对货物灭失、盗窃、毁坏、被没收或损失等进行保险。保险金以货物的重置价值为准。</w:t>
      </w:r>
      <w:r>
        <w:rPr>
          <w:rFonts w:hint="eastAsia" w:ascii="宋体" w:hAnsi="宋体"/>
          <w:sz w:val="24"/>
        </w:rPr>
        <w:t>运输招标参与者</w:t>
      </w:r>
      <w:r>
        <w:rPr>
          <w:rFonts w:hint="eastAsia"/>
          <w:sz w:val="24"/>
        </w:rPr>
        <w:t>未经我司通知不可撤销此等保险。</w:t>
      </w:r>
      <w:r>
        <w:rPr>
          <w:rFonts w:hint="eastAsia" w:ascii="宋体" w:hAnsi="宋体"/>
          <w:sz w:val="24"/>
        </w:rPr>
        <w:t>运输招标参与者</w:t>
      </w:r>
      <w:r>
        <w:rPr>
          <w:rFonts w:hint="eastAsia"/>
          <w:sz w:val="24"/>
        </w:rPr>
        <w:t>应注明安徽丰原医药营销有限公司作为被保险人和货物所有权人的利益，且我司可以要求</w:t>
      </w:r>
      <w:r>
        <w:rPr>
          <w:rFonts w:hint="eastAsia" w:ascii="宋体" w:hAnsi="宋体"/>
          <w:sz w:val="24"/>
        </w:rPr>
        <w:t>运输招标</w:t>
      </w:r>
      <w:r>
        <w:rPr>
          <w:rFonts w:hint="eastAsia"/>
          <w:sz w:val="24"/>
        </w:rPr>
        <w:t>参与者投保至一个指定的金额。经我司要求，</w:t>
      </w:r>
      <w:r>
        <w:rPr>
          <w:rFonts w:hint="eastAsia" w:ascii="宋体" w:hAnsi="宋体"/>
          <w:sz w:val="24"/>
        </w:rPr>
        <w:t>运输招标参与者</w:t>
      </w:r>
      <w:r>
        <w:rPr>
          <w:rFonts w:hint="eastAsia"/>
          <w:sz w:val="24"/>
        </w:rPr>
        <w:t>应提供有效保险证据以及保险费支付的凭证。</w:t>
      </w:r>
    </w:p>
    <w:p>
      <w:pPr>
        <w:tabs>
          <w:tab w:val="left" w:pos="2790"/>
        </w:tabs>
        <w:spacing w:line="360" w:lineRule="auto"/>
        <w:ind w:left="120" w:firstLine="720" w:firstLineChars="300"/>
        <w:rPr>
          <w:sz w:val="24"/>
        </w:rPr>
      </w:pPr>
      <w:r>
        <w:rPr>
          <w:rFonts w:hint="eastAsia" w:ascii="宋体" w:hAnsi="宋体"/>
          <w:sz w:val="24"/>
        </w:rPr>
        <w:t>2. 运输招标书中</w:t>
      </w:r>
      <w:r>
        <w:rPr>
          <w:rFonts w:hint="eastAsia"/>
          <w:sz w:val="24"/>
        </w:rPr>
        <w:t>的报价为全包价，即：包含但不限于一切过路、桥、隧道、渡口、车辆保管、铁路站台临时占用、集装箱临时占压、包装包卸、税收等（铁路运输：铁路棚车运输方式指门到站，铁路集装箱运输指门到门）所有费用。</w:t>
      </w:r>
    </w:p>
    <w:p>
      <w:pPr>
        <w:tabs>
          <w:tab w:val="left" w:pos="2790"/>
        </w:tabs>
        <w:spacing w:line="360" w:lineRule="auto"/>
        <w:ind w:left="120" w:firstLine="723" w:firstLineChars="300"/>
        <w:rPr>
          <w:rFonts w:ascii="宋体" w:hAnsi="宋体"/>
          <w:b/>
          <w:sz w:val="24"/>
        </w:rPr>
      </w:pPr>
      <w:r>
        <w:rPr>
          <w:rFonts w:hint="eastAsia" w:ascii="宋体" w:hAnsi="宋体"/>
          <w:b/>
          <w:sz w:val="24"/>
        </w:rPr>
        <w:t>3.</w:t>
      </w:r>
      <w:r>
        <w:rPr>
          <w:rFonts w:hint="eastAsia" w:ascii="宋体" w:hAnsi="宋体"/>
          <w:b/>
          <w:color w:val="000000" w:themeColor="text1"/>
          <w:sz w:val="24"/>
          <w14:textFill>
            <w14:solidFill>
              <w14:schemeClr w14:val="tx1"/>
            </w14:solidFill>
          </w14:textFill>
        </w:rPr>
        <w:t>本年度我司合同价格采取运输费用浮动机制，每半年根据油价涨跌情况重新确定运输费用，具体方案详见附件8《2021-2023丰原药业运输合同》</w:t>
      </w:r>
      <w:r>
        <w:rPr>
          <w:rFonts w:hint="eastAsia"/>
          <w:b/>
          <w:color w:val="000000" w:themeColor="text1"/>
          <w:sz w:val="24"/>
          <w14:textFill>
            <w14:solidFill>
              <w14:schemeClr w14:val="tx1"/>
            </w14:solidFill>
          </w14:textFill>
        </w:rPr>
        <w:t>；</w:t>
      </w:r>
    </w:p>
    <w:p>
      <w:pPr>
        <w:tabs>
          <w:tab w:val="left" w:pos="2790"/>
        </w:tabs>
        <w:spacing w:line="360" w:lineRule="auto"/>
        <w:ind w:left="120" w:firstLine="720" w:firstLineChars="300"/>
        <w:rPr>
          <w:rFonts w:ascii="宋体" w:hAnsi="宋体"/>
          <w:b/>
          <w:sz w:val="24"/>
        </w:rPr>
      </w:pPr>
      <w:r>
        <w:rPr>
          <w:rFonts w:hint="eastAsia" w:ascii="宋体" w:hAnsi="宋体"/>
          <w:sz w:val="24"/>
        </w:rPr>
        <w:t>4. 运输招标</w:t>
      </w:r>
      <w:r>
        <w:rPr>
          <w:rFonts w:hint="eastAsia"/>
          <w:sz w:val="24"/>
        </w:rPr>
        <w:t>书中的报价表见</w:t>
      </w:r>
      <w:bookmarkStart w:id="0" w:name="_Hlk73353564"/>
      <w:r>
        <w:rPr>
          <w:rFonts w:hint="eastAsia"/>
          <w:sz w:val="24"/>
        </w:rPr>
        <w:t>附表二</w:t>
      </w:r>
      <w:bookmarkEnd w:id="0"/>
      <w:r>
        <w:rPr>
          <w:rFonts w:hint="eastAsia"/>
          <w:sz w:val="24"/>
        </w:rPr>
        <w:t>。</w:t>
      </w:r>
    </w:p>
    <w:p>
      <w:pPr>
        <w:tabs>
          <w:tab w:val="left" w:pos="2790"/>
        </w:tabs>
        <w:spacing w:line="360" w:lineRule="auto"/>
        <w:ind w:left="120" w:firstLine="723" w:firstLineChars="300"/>
        <w:rPr>
          <w:rFonts w:ascii="宋体" w:hAnsi="宋体"/>
          <w:b/>
          <w:sz w:val="24"/>
        </w:rPr>
      </w:pPr>
    </w:p>
    <w:p>
      <w:pPr>
        <w:tabs>
          <w:tab w:val="left" w:pos="2790"/>
        </w:tabs>
        <w:spacing w:line="360" w:lineRule="auto"/>
        <w:ind w:left="120" w:firstLine="723" w:firstLineChars="300"/>
        <w:rPr>
          <w:rFonts w:ascii="宋体" w:hAnsi="宋体"/>
          <w:b/>
          <w:sz w:val="24"/>
        </w:rPr>
      </w:pPr>
      <w:r>
        <w:rPr>
          <w:rFonts w:hint="eastAsia" w:ascii="宋体" w:hAnsi="宋体"/>
          <w:b/>
          <w:sz w:val="24"/>
        </w:rPr>
        <w:t>（十）附件</w:t>
      </w:r>
    </w:p>
    <w:p>
      <w:pPr>
        <w:tabs>
          <w:tab w:val="left" w:pos="2790"/>
        </w:tabs>
        <w:spacing w:line="360" w:lineRule="auto"/>
        <w:rPr>
          <w:rFonts w:ascii="宋体" w:hAnsi="宋体"/>
          <w:b/>
          <w:sz w:val="24"/>
        </w:rPr>
      </w:pPr>
      <w:r>
        <w:rPr>
          <w:rFonts w:hint="eastAsia" w:ascii="宋体" w:hAnsi="宋体"/>
          <w:b/>
          <w:sz w:val="24"/>
        </w:rPr>
        <w:t>附件目录：</w:t>
      </w:r>
    </w:p>
    <w:p>
      <w:pPr>
        <w:tabs>
          <w:tab w:val="left" w:pos="2790"/>
        </w:tabs>
        <w:spacing w:line="360" w:lineRule="auto"/>
        <w:rPr>
          <w:rFonts w:ascii="宋体" w:hAnsi="宋体"/>
          <w:b/>
          <w:sz w:val="24"/>
        </w:rPr>
      </w:pPr>
      <w:r>
        <w:rPr>
          <w:rFonts w:hint="eastAsia" w:ascii="宋体" w:hAnsi="宋体"/>
          <w:sz w:val="24"/>
        </w:rPr>
        <w:t>运输招标书附件1：运输招标</w:t>
      </w:r>
      <w:r>
        <w:rPr>
          <w:rFonts w:hint="eastAsia"/>
          <w:sz w:val="24"/>
        </w:rPr>
        <w:t>书</w:t>
      </w:r>
      <w:r>
        <w:rPr>
          <w:rFonts w:hint="eastAsia" w:ascii="宋体" w:hAnsi="宋体"/>
          <w:sz w:val="24"/>
        </w:rPr>
        <w:t>确认函（模板）；</w:t>
      </w:r>
    </w:p>
    <w:p>
      <w:pPr>
        <w:tabs>
          <w:tab w:val="left" w:pos="2790"/>
        </w:tabs>
        <w:spacing w:line="360" w:lineRule="auto"/>
        <w:rPr>
          <w:rFonts w:ascii="宋体" w:hAnsi="宋体"/>
          <w:sz w:val="24"/>
        </w:rPr>
      </w:pPr>
      <w:r>
        <w:rPr>
          <w:rFonts w:hint="eastAsia" w:ascii="宋体" w:hAnsi="宋体"/>
          <w:sz w:val="24"/>
        </w:rPr>
        <w:t>运输招标书附件2：授权书（模板）；</w:t>
      </w:r>
    </w:p>
    <w:p>
      <w:pPr>
        <w:tabs>
          <w:tab w:val="left" w:pos="2790"/>
        </w:tabs>
        <w:spacing w:line="360" w:lineRule="auto"/>
        <w:rPr>
          <w:rFonts w:ascii="宋体" w:hAnsi="宋体"/>
          <w:sz w:val="24"/>
        </w:rPr>
      </w:pPr>
      <w:r>
        <w:rPr>
          <w:rFonts w:hint="eastAsia" w:ascii="宋体" w:hAnsi="宋体"/>
          <w:sz w:val="24"/>
        </w:rPr>
        <w:t>运输招标书附件3：物流商基本数据采集表；</w:t>
      </w:r>
    </w:p>
    <w:p>
      <w:pPr>
        <w:tabs>
          <w:tab w:val="left" w:pos="2790"/>
        </w:tabs>
        <w:spacing w:line="360" w:lineRule="auto"/>
        <w:rPr>
          <w:rFonts w:ascii="宋体" w:hAnsi="宋体"/>
          <w:sz w:val="24"/>
        </w:rPr>
      </w:pPr>
      <w:bookmarkStart w:id="1" w:name="OLE_LINK4"/>
      <w:bookmarkStart w:id="2" w:name="OLE_LINK3"/>
      <w:r>
        <w:rPr>
          <w:rFonts w:hint="eastAsia" w:ascii="宋体" w:hAnsi="宋体"/>
          <w:sz w:val="24"/>
        </w:rPr>
        <w:t>运输招标书</w:t>
      </w:r>
      <w:bookmarkEnd w:id="1"/>
      <w:bookmarkEnd w:id="2"/>
      <w:r>
        <w:rPr>
          <w:rFonts w:hint="eastAsia" w:ascii="宋体" w:hAnsi="宋体"/>
          <w:sz w:val="24"/>
        </w:rPr>
        <w:t>附件4：各工厂产品目录与规格；</w:t>
      </w:r>
    </w:p>
    <w:p>
      <w:pPr>
        <w:tabs>
          <w:tab w:val="left" w:pos="2790"/>
        </w:tabs>
        <w:spacing w:line="360" w:lineRule="auto"/>
        <w:rPr>
          <w:rFonts w:ascii="宋体" w:hAnsi="宋体"/>
          <w:sz w:val="24"/>
        </w:rPr>
      </w:pPr>
      <w:r>
        <w:rPr>
          <w:rFonts w:hint="eastAsia" w:ascii="宋体" w:hAnsi="宋体"/>
          <w:sz w:val="24"/>
        </w:rPr>
        <w:t>运输招标书附件5：产品运输规范与说明；</w:t>
      </w:r>
    </w:p>
    <w:p>
      <w:pPr>
        <w:tabs>
          <w:tab w:val="left" w:pos="2790"/>
        </w:tabs>
        <w:spacing w:line="360" w:lineRule="auto"/>
        <w:rPr>
          <w:rFonts w:ascii="宋体" w:hAnsi="宋体"/>
          <w:sz w:val="24"/>
        </w:rPr>
      </w:pPr>
      <w:r>
        <w:rPr>
          <w:rFonts w:hint="eastAsia" w:ascii="宋体" w:hAnsi="宋体"/>
          <w:sz w:val="24"/>
        </w:rPr>
        <w:t>运输招标书附件6：</w:t>
      </w:r>
      <w:r>
        <w:rPr>
          <w:rFonts w:hint="eastAsia"/>
          <w:sz w:val="24"/>
        </w:rPr>
        <w:t>丰原药业各工厂发货区域报价表</w:t>
      </w:r>
      <w:r>
        <w:rPr>
          <w:rFonts w:hint="eastAsia" w:ascii="宋体" w:hAnsi="宋体"/>
          <w:sz w:val="24"/>
        </w:rPr>
        <w:t>；</w:t>
      </w:r>
    </w:p>
    <w:p>
      <w:pPr>
        <w:tabs>
          <w:tab w:val="left" w:pos="2790"/>
        </w:tabs>
        <w:spacing w:line="360" w:lineRule="auto"/>
        <w:rPr>
          <w:rFonts w:ascii="宋体" w:hAnsi="宋体"/>
          <w:sz w:val="24"/>
        </w:rPr>
      </w:pPr>
      <w:bookmarkStart w:id="3" w:name="_Hlk73353816"/>
      <w:r>
        <w:rPr>
          <w:rFonts w:hint="eastAsia" w:ascii="宋体" w:hAnsi="宋体"/>
          <w:sz w:val="24"/>
        </w:rPr>
        <w:t>运输招标书附件7</w:t>
      </w:r>
      <w:bookmarkEnd w:id="3"/>
      <w:r>
        <w:rPr>
          <w:rFonts w:hint="eastAsia" w:ascii="宋体" w:hAnsi="宋体"/>
          <w:sz w:val="24"/>
        </w:rPr>
        <w:t>：保密协议（模板）；</w:t>
      </w:r>
    </w:p>
    <w:p>
      <w:pPr>
        <w:tabs>
          <w:tab w:val="left" w:pos="2790"/>
        </w:tabs>
        <w:spacing w:line="360" w:lineRule="auto"/>
        <w:rPr>
          <w:rFonts w:ascii="宋体" w:hAnsi="宋体"/>
          <w:sz w:val="24"/>
        </w:rPr>
      </w:pPr>
      <w:r>
        <w:rPr>
          <w:rFonts w:hint="eastAsia" w:ascii="宋体" w:hAnsi="宋体"/>
          <w:sz w:val="24"/>
        </w:rPr>
        <w:t>运输招标书附件8：20</w:t>
      </w:r>
      <w:r>
        <w:rPr>
          <w:rFonts w:ascii="宋体" w:hAnsi="宋体"/>
          <w:sz w:val="24"/>
        </w:rPr>
        <w:t>2</w:t>
      </w:r>
      <w:r>
        <w:rPr>
          <w:rFonts w:hint="eastAsia" w:ascii="宋体" w:hAnsi="宋体"/>
          <w:sz w:val="24"/>
          <w:lang w:val="en-US" w:eastAsia="zh-CN"/>
        </w:rPr>
        <w:t>3</w:t>
      </w:r>
      <w:r>
        <w:rPr>
          <w:rFonts w:hint="eastAsia" w:ascii="宋体" w:hAnsi="宋体"/>
          <w:sz w:val="24"/>
        </w:rPr>
        <w:t>-20</w:t>
      </w:r>
      <w:r>
        <w:rPr>
          <w:rFonts w:ascii="宋体" w:hAnsi="宋体"/>
          <w:sz w:val="24"/>
        </w:rPr>
        <w:t>2</w:t>
      </w:r>
      <w:r>
        <w:rPr>
          <w:rFonts w:hint="eastAsia" w:ascii="宋体" w:hAnsi="宋体"/>
          <w:sz w:val="24"/>
          <w:lang w:val="en-US" w:eastAsia="zh-CN"/>
        </w:rPr>
        <w:t>5</w:t>
      </w:r>
      <w:r>
        <w:rPr>
          <w:rFonts w:hint="eastAsia" w:ascii="宋体" w:hAnsi="宋体"/>
          <w:sz w:val="24"/>
        </w:rPr>
        <w:t>丰原药业运输合同（模板）</w:t>
      </w:r>
    </w:p>
    <w:p>
      <w:pPr>
        <w:tabs>
          <w:tab w:val="left" w:pos="2790"/>
        </w:tabs>
        <w:spacing w:line="360" w:lineRule="auto"/>
        <w:rPr>
          <w:rFonts w:ascii="宋体" w:hAnsi="宋体"/>
          <w:sz w:val="24"/>
        </w:rPr>
      </w:pPr>
      <w:r>
        <w:rPr>
          <w:rFonts w:hint="eastAsia" w:ascii="宋体" w:hAnsi="宋体"/>
          <w:sz w:val="24"/>
        </w:rPr>
        <w:t>运输招标书附件9：生意授予书（模板）；</w:t>
      </w:r>
    </w:p>
    <w:p>
      <w:pPr>
        <w:spacing w:line="360" w:lineRule="auto"/>
        <w:rPr>
          <w:rFonts w:ascii="宋体" w:hAnsi="宋体"/>
          <w:b/>
          <w:bCs/>
          <w:sz w:val="24"/>
        </w:rPr>
      </w:pPr>
      <w:r>
        <w:rPr>
          <w:b/>
          <w:bCs/>
          <w:sz w:val="24"/>
        </w:rPr>
        <w:br w:type="page"/>
      </w:r>
      <w:r>
        <w:rPr>
          <w:rFonts w:hint="eastAsia" w:ascii="宋体" w:hAnsi="宋体"/>
          <w:b/>
          <w:sz w:val="24"/>
        </w:rPr>
        <w:t>运输招标</w:t>
      </w:r>
      <w:r>
        <w:rPr>
          <w:rFonts w:hint="eastAsia" w:ascii="宋体" w:hAnsi="宋体"/>
          <w:b/>
          <w:bCs/>
          <w:sz w:val="24"/>
        </w:rPr>
        <w:t>书附件1：</w:t>
      </w:r>
    </w:p>
    <w:p>
      <w:pPr>
        <w:spacing w:line="360" w:lineRule="exact"/>
        <w:jc w:val="center"/>
        <w:rPr>
          <w:rFonts w:ascii="宋体" w:hAnsi="宋体"/>
          <w:b/>
          <w:bCs/>
          <w:szCs w:val="21"/>
        </w:rPr>
      </w:pPr>
      <w:r>
        <w:rPr>
          <w:rFonts w:hint="eastAsia" w:ascii="宋体" w:hAnsi="宋体"/>
          <w:b/>
          <w:szCs w:val="21"/>
        </w:rPr>
        <w:t>运输招标</w:t>
      </w:r>
      <w:r>
        <w:rPr>
          <w:rFonts w:hint="eastAsia" w:ascii="宋体" w:hAnsi="宋体"/>
          <w:b/>
          <w:bCs/>
          <w:szCs w:val="21"/>
        </w:rPr>
        <w:t>书确认函</w:t>
      </w:r>
    </w:p>
    <w:p>
      <w:pPr>
        <w:spacing w:line="360" w:lineRule="exact"/>
        <w:rPr>
          <w:rFonts w:ascii="宋体" w:hAnsi="宋体"/>
          <w:szCs w:val="21"/>
        </w:rPr>
      </w:pPr>
      <w:r>
        <w:rPr>
          <w:rFonts w:hint="eastAsia" w:ascii="宋体" w:hAnsi="宋体"/>
          <w:szCs w:val="21"/>
        </w:rPr>
        <w:t>安徽丰原医药营销有限公司：</w:t>
      </w:r>
    </w:p>
    <w:p>
      <w:pPr>
        <w:spacing w:line="360" w:lineRule="exact"/>
        <w:ind w:firstLine="420" w:firstLineChars="20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项目物流服务的运输招标邀请，签字代表</w:t>
      </w:r>
      <w:r>
        <w:rPr>
          <w:rFonts w:hint="eastAsia" w:ascii="宋体" w:hAnsi="宋体"/>
          <w:szCs w:val="21"/>
          <w:u w:val="single"/>
        </w:rPr>
        <w:t xml:space="preserve">                                                </w:t>
      </w:r>
      <w:r>
        <w:rPr>
          <w:rFonts w:hint="eastAsia" w:ascii="宋体" w:hAnsi="宋体"/>
          <w:szCs w:val="21"/>
        </w:rPr>
        <w:t xml:space="preserve">（全名、职务）经正式授权并代表运输招标参与人 </w:t>
      </w:r>
      <w:r>
        <w:rPr>
          <w:rFonts w:hint="eastAsia" w:ascii="宋体" w:hAnsi="宋体"/>
          <w:szCs w:val="21"/>
          <w:u w:val="single"/>
        </w:rPr>
        <w:t xml:space="preserve">                                       </w:t>
      </w:r>
      <w:r>
        <w:rPr>
          <w:rFonts w:hint="eastAsia" w:ascii="宋体" w:hAnsi="宋体"/>
          <w:szCs w:val="21"/>
        </w:rPr>
        <w:t>（运输招标参与人名称、地址）确定已经收到《安徽丰原医药营销有限公司物流项目运输招标书》，并作为全权代表提供：</w:t>
      </w:r>
    </w:p>
    <w:p>
      <w:pPr>
        <w:spacing w:line="360" w:lineRule="exact"/>
        <w:ind w:firstLine="420" w:firstLineChars="200"/>
        <w:rPr>
          <w:rFonts w:ascii="宋体" w:hAnsi="宋体"/>
          <w:szCs w:val="21"/>
        </w:rPr>
      </w:pPr>
      <w:r>
        <w:rPr>
          <w:rFonts w:hint="eastAsia" w:ascii="宋体" w:hAnsi="宋体"/>
          <w:szCs w:val="21"/>
        </w:rPr>
        <w:t>（1）企业法人营业执照、企业代码证、税务登记证、道路运输经营许可证等影印件；</w:t>
      </w:r>
    </w:p>
    <w:p>
      <w:pPr>
        <w:spacing w:line="360" w:lineRule="exact"/>
        <w:ind w:firstLine="420" w:firstLineChars="200"/>
        <w:rPr>
          <w:rFonts w:ascii="宋体" w:hAnsi="宋体"/>
          <w:szCs w:val="21"/>
        </w:rPr>
      </w:pPr>
      <w:r>
        <w:rPr>
          <w:rFonts w:hint="eastAsia" w:ascii="宋体" w:hAnsi="宋体"/>
          <w:szCs w:val="21"/>
        </w:rPr>
        <w:t>（2）法定代表人授权书（如果法定代表人不能参加报价）</w:t>
      </w:r>
    </w:p>
    <w:p>
      <w:pPr>
        <w:spacing w:line="360" w:lineRule="exact"/>
        <w:ind w:firstLine="420" w:firstLineChars="200"/>
        <w:rPr>
          <w:rFonts w:ascii="宋体" w:hAnsi="宋体"/>
          <w:szCs w:val="21"/>
        </w:rPr>
      </w:pPr>
      <w:r>
        <w:rPr>
          <w:rFonts w:hint="eastAsia" w:ascii="宋体" w:hAnsi="宋体"/>
          <w:szCs w:val="21"/>
        </w:rPr>
        <w:t>（3）报价价格表；</w:t>
      </w:r>
    </w:p>
    <w:p>
      <w:pPr>
        <w:spacing w:line="360" w:lineRule="exact"/>
        <w:ind w:firstLine="420" w:firstLineChars="200"/>
        <w:rPr>
          <w:rFonts w:ascii="宋体" w:hAnsi="宋体"/>
          <w:szCs w:val="21"/>
        </w:rPr>
      </w:pPr>
      <w:r>
        <w:rPr>
          <w:rFonts w:hint="eastAsia" w:ascii="宋体" w:hAnsi="宋体"/>
          <w:szCs w:val="21"/>
        </w:rPr>
        <w:t>（4）运输服务简要说明一栏表；</w:t>
      </w:r>
    </w:p>
    <w:p>
      <w:pPr>
        <w:spacing w:line="360" w:lineRule="exact"/>
        <w:ind w:firstLine="420" w:firstLineChars="200"/>
        <w:rPr>
          <w:rFonts w:ascii="宋体" w:hAnsi="宋体"/>
          <w:szCs w:val="21"/>
        </w:rPr>
      </w:pPr>
      <w:r>
        <w:rPr>
          <w:rFonts w:hint="eastAsia" w:ascii="宋体" w:hAnsi="宋体"/>
          <w:szCs w:val="21"/>
        </w:rPr>
        <w:t>（5）按运输招标须知要求提供的全部文件；</w:t>
      </w:r>
    </w:p>
    <w:p>
      <w:pPr>
        <w:spacing w:line="360" w:lineRule="exact"/>
        <w:ind w:firstLine="420" w:firstLineChars="200"/>
        <w:rPr>
          <w:rFonts w:ascii="宋体" w:hAnsi="宋体"/>
          <w:szCs w:val="21"/>
        </w:rPr>
      </w:pPr>
      <w:r>
        <w:rPr>
          <w:rFonts w:hint="eastAsia" w:ascii="宋体" w:hAnsi="宋体"/>
          <w:szCs w:val="21"/>
        </w:rPr>
        <w:t>（6）具体服务运作方案；</w:t>
      </w:r>
    </w:p>
    <w:p>
      <w:pPr>
        <w:spacing w:line="360" w:lineRule="exact"/>
        <w:ind w:firstLine="420" w:firstLineChars="200"/>
        <w:rPr>
          <w:rFonts w:ascii="宋体" w:hAnsi="宋体"/>
          <w:szCs w:val="21"/>
        </w:rPr>
      </w:pPr>
      <w:r>
        <w:rPr>
          <w:rFonts w:hint="eastAsia" w:ascii="宋体" w:hAnsi="宋体"/>
          <w:szCs w:val="21"/>
        </w:rPr>
        <w:t>据此函，签字代表宣布同意如下：</w:t>
      </w:r>
    </w:p>
    <w:p>
      <w:pPr>
        <w:spacing w:line="360" w:lineRule="exact"/>
        <w:ind w:firstLine="420" w:firstLineChars="200"/>
        <w:rPr>
          <w:rFonts w:ascii="宋体" w:hAnsi="宋体"/>
          <w:szCs w:val="21"/>
        </w:rPr>
      </w:pPr>
      <w:r>
        <w:rPr>
          <w:rFonts w:hint="eastAsia" w:ascii="宋体" w:hAnsi="宋体"/>
          <w:szCs w:val="21"/>
        </w:rPr>
        <w:t>（1）运输招标参与者保证所提供的资料均为合法、真实、有效。</w:t>
      </w:r>
    </w:p>
    <w:p>
      <w:pPr>
        <w:spacing w:line="360" w:lineRule="exact"/>
        <w:ind w:firstLine="420" w:firstLineChars="200"/>
        <w:rPr>
          <w:rFonts w:ascii="宋体" w:hAnsi="宋体"/>
          <w:szCs w:val="21"/>
        </w:rPr>
      </w:pPr>
      <w:r>
        <w:rPr>
          <w:rFonts w:hint="eastAsia" w:ascii="宋体" w:hAnsi="宋体"/>
          <w:szCs w:val="21"/>
        </w:rPr>
        <w:t>（2）运输招标参与者已详细审查全部竞争性谈判文件，包括修改文件（如需要修改），以及全部参考资料和有关附件。我们完全理解并同意放弃对这方面有不明及误解的权利。</w:t>
      </w:r>
    </w:p>
    <w:p>
      <w:pPr>
        <w:spacing w:line="360" w:lineRule="exact"/>
        <w:ind w:firstLine="420" w:firstLineChars="200"/>
        <w:rPr>
          <w:rFonts w:ascii="宋体" w:hAnsi="宋体"/>
          <w:szCs w:val="21"/>
        </w:rPr>
      </w:pPr>
      <w:r>
        <w:rPr>
          <w:rFonts w:hint="eastAsia" w:ascii="宋体" w:hAnsi="宋体"/>
          <w:szCs w:val="21"/>
        </w:rPr>
        <w:t>（3）本运输招标文件有效期为文件开启之日</w:t>
      </w:r>
      <w:r>
        <w:rPr>
          <w:rFonts w:hint="eastAsia" w:ascii="宋体" w:hAnsi="宋体"/>
          <w:szCs w:val="21"/>
          <w:u w:val="single"/>
        </w:rPr>
        <w:t>一年</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（4）确认已经完全收到本运输招标的全部相关信息。</w:t>
      </w:r>
    </w:p>
    <w:p>
      <w:pPr>
        <w:spacing w:line="360" w:lineRule="exact"/>
        <w:ind w:firstLine="420" w:firstLineChars="200"/>
        <w:rPr>
          <w:rFonts w:ascii="宋体" w:hAnsi="宋体"/>
          <w:szCs w:val="21"/>
        </w:rPr>
      </w:pPr>
      <w:r>
        <w:rPr>
          <w:rFonts w:hint="eastAsia" w:ascii="宋体" w:hAnsi="宋体"/>
          <w:szCs w:val="21"/>
        </w:rPr>
        <w:t>（5）与本运输招标有关的一切正式往来通讯请寄：</w:t>
      </w:r>
    </w:p>
    <w:p>
      <w:pPr>
        <w:spacing w:line="360" w:lineRule="exact"/>
        <w:ind w:firstLine="420" w:firstLineChars="200"/>
        <w:rPr>
          <w:rFonts w:ascii="宋体" w:hAnsi="宋体"/>
          <w:szCs w:val="21"/>
          <w:u w:val="single"/>
        </w:rPr>
      </w:pPr>
      <w:r>
        <w:rPr>
          <w:rFonts w:hint="eastAsia" w:ascii="宋体" w:hAnsi="宋体"/>
          <w:szCs w:val="21"/>
        </w:rPr>
        <w:t xml:space="preserve">   地址：</w:t>
      </w:r>
      <w:r>
        <w:rPr>
          <w:rFonts w:hint="eastAsia" w:ascii="宋体" w:hAnsi="宋体"/>
          <w:szCs w:val="21"/>
          <w:u w:val="single"/>
        </w:rPr>
        <w:t xml:space="preserve">                                                                  </w:t>
      </w:r>
    </w:p>
    <w:p>
      <w:pPr>
        <w:spacing w:line="360" w:lineRule="exact"/>
        <w:ind w:firstLine="420" w:firstLineChars="200"/>
        <w:rPr>
          <w:rFonts w:ascii="宋体" w:hAnsi="宋体"/>
          <w:szCs w:val="21"/>
        </w:rPr>
      </w:pP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Cs w:val="21"/>
        </w:rPr>
        <w:t xml:space="preserve">   </w:t>
      </w:r>
    </w:p>
    <w:p>
      <w:pPr>
        <w:spacing w:line="360" w:lineRule="exact"/>
        <w:ind w:firstLine="420" w:firstLineChars="200"/>
        <w:rPr>
          <w:rFonts w:ascii="宋体" w:hAnsi="宋体"/>
          <w:szCs w:val="21"/>
          <w:u w:val="single"/>
        </w:rPr>
      </w:pPr>
      <w:r>
        <w:rPr>
          <w:rFonts w:hint="eastAsia" w:ascii="宋体" w:hAnsi="宋体"/>
          <w:szCs w:val="21"/>
        </w:rPr>
        <w:t xml:space="preserve">   传真：</w:t>
      </w:r>
      <w:r>
        <w:rPr>
          <w:rFonts w:hint="eastAsia" w:ascii="宋体" w:hAnsi="宋体"/>
          <w:szCs w:val="21"/>
          <w:u w:val="single"/>
        </w:rPr>
        <w:t xml:space="preserve">                                                                  </w:t>
      </w:r>
    </w:p>
    <w:p>
      <w:pPr>
        <w:spacing w:line="360" w:lineRule="exact"/>
        <w:ind w:firstLine="420" w:firstLineChars="200"/>
        <w:rPr>
          <w:rFonts w:ascii="宋体" w:hAnsi="宋体"/>
          <w:szCs w:val="21"/>
          <w:u w:val="single"/>
        </w:rPr>
      </w:pPr>
      <w:r>
        <w:rPr>
          <w:rFonts w:hint="eastAsia" w:ascii="宋体" w:hAnsi="宋体"/>
          <w:szCs w:val="21"/>
        </w:rPr>
        <w:t xml:space="preserve">   运输招标参与者代表姓名、职务：</w:t>
      </w:r>
      <w:r>
        <w:rPr>
          <w:rFonts w:hint="eastAsia" w:ascii="宋体" w:hAnsi="宋体"/>
          <w:szCs w:val="21"/>
          <w:u w:val="single"/>
        </w:rPr>
        <w:t xml:space="preserve">                                                  </w:t>
      </w:r>
    </w:p>
    <w:p>
      <w:pPr>
        <w:spacing w:line="360" w:lineRule="exact"/>
        <w:ind w:firstLine="420" w:firstLineChars="200"/>
        <w:rPr>
          <w:rFonts w:ascii="宋体" w:hAnsi="宋体"/>
          <w:szCs w:val="21"/>
          <w:u w:val="single"/>
        </w:rPr>
      </w:pPr>
      <w:r>
        <w:rPr>
          <w:rFonts w:hint="eastAsia" w:ascii="宋体" w:hAnsi="宋体"/>
          <w:szCs w:val="21"/>
        </w:rPr>
        <w:t xml:space="preserve">   运输招标参与者名称（公章）：</w:t>
      </w:r>
      <w:r>
        <w:rPr>
          <w:rFonts w:hint="eastAsia" w:ascii="宋体" w:hAnsi="宋体"/>
          <w:szCs w:val="21"/>
          <w:u w:val="single"/>
        </w:rPr>
        <w:t xml:space="preserve">                                                     </w:t>
      </w:r>
    </w:p>
    <w:p>
      <w:pPr>
        <w:spacing w:line="360" w:lineRule="exact"/>
        <w:rPr>
          <w:rFonts w:ascii="宋体" w:hAnsi="宋体"/>
          <w:szCs w:val="21"/>
        </w:rPr>
      </w:pPr>
    </w:p>
    <w:p>
      <w:pPr>
        <w:spacing w:line="360" w:lineRule="exact"/>
        <w:ind w:firstLine="420" w:firstLineChars="200"/>
        <w:rPr>
          <w:rFonts w:ascii="宋体" w:hAnsi="宋体"/>
          <w:szCs w:val="21"/>
        </w:rPr>
      </w:pPr>
      <w:r>
        <w:rPr>
          <w:rFonts w:hint="eastAsia" w:ascii="宋体" w:hAnsi="宋体"/>
          <w:szCs w:val="21"/>
        </w:rPr>
        <w:t>公司法定代表人或其授权代表（签字）</w:t>
      </w: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r>
        <w:rPr>
          <w:rFonts w:hint="eastAsia" w:ascii="宋体" w:hAnsi="宋体"/>
          <w:szCs w:val="21"/>
        </w:rPr>
        <w:t>公司公章：</w:t>
      </w:r>
    </w:p>
    <w:p>
      <w:pPr>
        <w:spacing w:line="360" w:lineRule="exact"/>
        <w:ind w:firstLine="420" w:firstLineChars="200"/>
        <w:rPr>
          <w:rFonts w:ascii="宋体" w:hAnsi="宋体"/>
          <w:szCs w:val="21"/>
        </w:rPr>
      </w:pPr>
    </w:p>
    <w:p>
      <w:pPr>
        <w:spacing w:line="360" w:lineRule="exact"/>
        <w:ind w:firstLine="420" w:firstLineChars="200"/>
        <w:rPr>
          <w:rFonts w:ascii="宋体" w:hAnsi="宋体"/>
          <w:szCs w:val="21"/>
        </w:rPr>
      </w:pPr>
      <w:r>
        <w:rPr>
          <w:rFonts w:hint="eastAsia" w:ascii="宋体" w:hAnsi="宋体"/>
          <w:szCs w:val="21"/>
        </w:rPr>
        <w:t>地址：</w:t>
      </w:r>
    </w:p>
    <w:p>
      <w:pPr>
        <w:spacing w:line="360" w:lineRule="exact"/>
        <w:ind w:firstLine="420" w:firstLineChars="200"/>
        <w:rPr>
          <w:rFonts w:ascii="宋体" w:hAnsi="宋体"/>
          <w:szCs w:val="21"/>
        </w:rPr>
      </w:pPr>
      <w:r>
        <w:rPr>
          <w:rFonts w:hint="eastAsia" w:ascii="宋体" w:hAnsi="宋体"/>
          <w:szCs w:val="21"/>
        </w:rPr>
        <w:t>电话：</w:t>
      </w:r>
    </w:p>
    <w:p>
      <w:pPr>
        <w:spacing w:line="360" w:lineRule="exact"/>
        <w:ind w:firstLine="420" w:firstLineChars="200"/>
        <w:rPr>
          <w:rFonts w:ascii="宋体" w:hAnsi="宋体"/>
          <w:szCs w:val="21"/>
        </w:rPr>
      </w:pPr>
      <w:r>
        <w:rPr>
          <w:rFonts w:hint="eastAsia" w:ascii="宋体" w:hAnsi="宋体"/>
          <w:szCs w:val="21"/>
        </w:rPr>
        <w:t>传真：</w:t>
      </w:r>
    </w:p>
    <w:p>
      <w:pPr>
        <w:spacing w:line="360" w:lineRule="exact"/>
        <w:ind w:firstLine="420" w:firstLineChars="200"/>
        <w:rPr>
          <w:rFonts w:ascii="宋体" w:hAnsi="宋体"/>
          <w:szCs w:val="21"/>
        </w:rPr>
      </w:pPr>
      <w:r>
        <w:rPr>
          <w:rFonts w:hint="eastAsia" w:ascii="宋体" w:hAnsi="宋体"/>
          <w:szCs w:val="21"/>
        </w:rPr>
        <w:t xml:space="preserve">项目负责人： </w:t>
      </w:r>
    </w:p>
    <w:p>
      <w:pPr>
        <w:spacing w:line="360" w:lineRule="exact"/>
        <w:ind w:firstLine="5460" w:firstLineChars="2600"/>
        <w:rPr>
          <w:rFonts w:ascii="宋体" w:hAnsi="宋体"/>
          <w:szCs w:val="21"/>
        </w:rPr>
      </w:pPr>
      <w:r>
        <w:rPr>
          <w:rFonts w:hint="eastAsia" w:ascii="宋体" w:hAnsi="宋体"/>
          <w:szCs w:val="21"/>
        </w:rPr>
        <w:t>年     月     日</w:t>
      </w:r>
    </w:p>
    <w:p>
      <w:pPr>
        <w:spacing w:line="360" w:lineRule="auto"/>
        <w:rPr>
          <w:b/>
          <w:bCs/>
          <w:sz w:val="24"/>
        </w:rPr>
      </w:pPr>
      <w:r>
        <w:rPr>
          <w:rFonts w:ascii="宋体" w:hAnsi="宋体"/>
          <w:b/>
          <w:bCs/>
          <w:sz w:val="24"/>
        </w:rPr>
        <w:br w:type="page"/>
      </w:r>
      <w:r>
        <w:rPr>
          <w:rFonts w:hint="eastAsia" w:ascii="宋体" w:hAnsi="宋体"/>
          <w:b/>
          <w:sz w:val="24"/>
        </w:rPr>
        <w:t>运输招标</w:t>
      </w:r>
      <w:r>
        <w:rPr>
          <w:rFonts w:hint="eastAsia" w:ascii="宋体" w:hAnsi="宋体"/>
          <w:b/>
          <w:bCs/>
          <w:sz w:val="24"/>
        </w:rPr>
        <w:t>书附件2：</w:t>
      </w:r>
    </w:p>
    <w:p>
      <w:pPr>
        <w:spacing w:line="360" w:lineRule="auto"/>
        <w:rPr>
          <w:b/>
          <w:bCs/>
          <w:sz w:val="24"/>
        </w:rPr>
      </w:pPr>
    </w:p>
    <w:p>
      <w:pPr>
        <w:spacing w:line="360" w:lineRule="auto"/>
        <w:jc w:val="center"/>
        <w:rPr>
          <w:b/>
          <w:bCs/>
          <w:sz w:val="24"/>
        </w:rPr>
      </w:pPr>
      <w:r>
        <w:rPr>
          <w:rFonts w:hint="eastAsia"/>
          <w:b/>
          <w:bCs/>
          <w:sz w:val="24"/>
        </w:rPr>
        <w:t>法定代表人授权书（格式）</w:t>
      </w:r>
    </w:p>
    <w:p>
      <w:pPr>
        <w:spacing w:line="360" w:lineRule="auto"/>
        <w:jc w:val="left"/>
        <w:rPr>
          <w:sz w:val="24"/>
        </w:rPr>
      </w:pPr>
    </w:p>
    <w:p>
      <w:pPr>
        <w:spacing w:line="360" w:lineRule="auto"/>
        <w:jc w:val="left"/>
        <w:rPr>
          <w:sz w:val="24"/>
        </w:rPr>
      </w:pPr>
      <w:r>
        <w:rPr>
          <w:rFonts w:hint="eastAsia" w:ascii="宋体" w:hAnsi="宋体"/>
          <w:b/>
          <w:sz w:val="24"/>
        </w:rPr>
        <w:t>安徽丰原医药营销有限公司</w:t>
      </w:r>
      <w:r>
        <w:rPr>
          <w:rFonts w:hint="eastAsia"/>
          <w:sz w:val="24"/>
        </w:rPr>
        <w:t>：</w:t>
      </w:r>
    </w:p>
    <w:p>
      <w:pPr>
        <w:spacing w:line="360" w:lineRule="auto"/>
        <w:jc w:val="left"/>
        <w:rPr>
          <w:sz w:val="24"/>
        </w:rPr>
      </w:pPr>
    </w:p>
    <w:p>
      <w:pPr>
        <w:spacing w:line="360" w:lineRule="auto"/>
        <w:ind w:firstLine="480" w:firstLineChars="200"/>
        <w:jc w:val="left"/>
        <w:rPr>
          <w:sz w:val="24"/>
        </w:rPr>
      </w:pPr>
      <w:r>
        <w:rPr>
          <w:rFonts w:hint="eastAsia"/>
          <w:sz w:val="24"/>
        </w:rPr>
        <w:t>现委派</w:t>
      </w:r>
      <w:r>
        <w:rPr>
          <w:rFonts w:hint="eastAsia"/>
          <w:sz w:val="24"/>
          <w:u w:val="single"/>
        </w:rPr>
        <w:t xml:space="preserve">                 </w:t>
      </w:r>
      <w:r>
        <w:rPr>
          <w:rFonts w:hint="eastAsia"/>
          <w:sz w:val="24"/>
        </w:rPr>
        <w:t>参加贵方组织的</w:t>
      </w:r>
      <w:r>
        <w:rPr>
          <w:rFonts w:hint="eastAsia"/>
          <w:sz w:val="24"/>
          <w:u w:val="single"/>
        </w:rPr>
        <w:t xml:space="preserve">                          </w:t>
      </w:r>
      <w:r>
        <w:rPr>
          <w:rFonts w:hint="eastAsia"/>
          <w:sz w:val="24"/>
        </w:rPr>
        <w:t>运输招标活动，全权代表我单位处理运输招标的有关事宜。</w:t>
      </w:r>
    </w:p>
    <w:p>
      <w:pPr>
        <w:spacing w:line="360" w:lineRule="auto"/>
        <w:ind w:firstLine="480" w:firstLineChars="200"/>
        <w:rPr>
          <w:sz w:val="24"/>
        </w:rPr>
      </w:pPr>
      <w:r>
        <w:rPr>
          <w:rFonts w:hint="eastAsia"/>
          <w:sz w:val="24"/>
        </w:rPr>
        <w:t>附授权代表情况：</w:t>
      </w:r>
    </w:p>
    <w:p>
      <w:pPr>
        <w:spacing w:line="360" w:lineRule="auto"/>
        <w:ind w:firstLine="960" w:firstLineChars="400"/>
        <w:rPr>
          <w:sz w:val="24"/>
          <w:u w:val="single"/>
        </w:rPr>
      </w:pPr>
      <w:r>
        <w:rPr>
          <w:rFonts w:hint="eastAsia"/>
          <w:sz w:val="24"/>
        </w:rPr>
        <w:t>姓名：</w:t>
      </w:r>
      <w:r>
        <w:rPr>
          <w:rFonts w:hint="eastAsia"/>
          <w:sz w:val="24"/>
          <w:u w:val="single"/>
        </w:rPr>
        <w:t xml:space="preserve">            </w:t>
      </w:r>
      <w:r>
        <w:rPr>
          <w:rFonts w:hint="eastAsia"/>
          <w:sz w:val="24"/>
        </w:rPr>
        <w:t xml:space="preserve"> 年龄：</w:t>
      </w:r>
      <w:r>
        <w:rPr>
          <w:rFonts w:hint="eastAsia"/>
          <w:sz w:val="24"/>
          <w:u w:val="single"/>
        </w:rPr>
        <w:t xml:space="preserve">         </w:t>
      </w:r>
      <w:r>
        <w:rPr>
          <w:rFonts w:hint="eastAsia"/>
          <w:sz w:val="24"/>
        </w:rPr>
        <w:t xml:space="preserve"> 性别：</w:t>
      </w:r>
      <w:r>
        <w:rPr>
          <w:rFonts w:hint="eastAsia"/>
          <w:sz w:val="24"/>
          <w:u w:val="single"/>
        </w:rPr>
        <w:t xml:space="preserve">        </w:t>
      </w:r>
    </w:p>
    <w:p>
      <w:pPr>
        <w:spacing w:line="360" w:lineRule="auto"/>
        <w:ind w:firstLine="480" w:firstLineChars="200"/>
        <w:rPr>
          <w:sz w:val="24"/>
          <w:u w:val="single"/>
        </w:rPr>
      </w:pPr>
      <w:r>
        <w:rPr>
          <w:rFonts w:hint="eastAsia"/>
          <w:sz w:val="24"/>
        </w:rPr>
        <w:t xml:space="preserve">    身份证号码：</w:t>
      </w:r>
      <w:r>
        <w:rPr>
          <w:rFonts w:hint="eastAsia"/>
          <w:sz w:val="24"/>
          <w:u w:val="single"/>
        </w:rPr>
        <w:t xml:space="preserve">                                     </w:t>
      </w:r>
    </w:p>
    <w:p>
      <w:pPr>
        <w:spacing w:line="360" w:lineRule="auto"/>
        <w:ind w:firstLine="480" w:firstLineChars="200"/>
        <w:rPr>
          <w:sz w:val="24"/>
          <w:u w:val="single"/>
        </w:rPr>
      </w:pPr>
      <w:r>
        <w:rPr>
          <w:rFonts w:hint="eastAsia"/>
          <w:sz w:val="24"/>
        </w:rPr>
        <w:t xml:space="preserve">    职务：</w:t>
      </w:r>
      <w:r>
        <w:rPr>
          <w:rFonts w:hint="eastAsia"/>
          <w:sz w:val="24"/>
          <w:u w:val="single"/>
        </w:rPr>
        <w:t xml:space="preserve">                  </w:t>
      </w:r>
      <w:r>
        <w:rPr>
          <w:rFonts w:hint="eastAsia"/>
          <w:sz w:val="24"/>
        </w:rPr>
        <w:t xml:space="preserve"> 邮编：</w:t>
      </w:r>
      <w:r>
        <w:rPr>
          <w:rFonts w:hint="eastAsia"/>
          <w:sz w:val="24"/>
          <w:u w:val="single"/>
        </w:rPr>
        <w:t xml:space="preserve">                  </w:t>
      </w:r>
    </w:p>
    <w:p>
      <w:pPr>
        <w:spacing w:line="360" w:lineRule="auto"/>
        <w:ind w:firstLine="480" w:firstLineChars="200"/>
        <w:rPr>
          <w:sz w:val="24"/>
        </w:rPr>
      </w:pPr>
      <w:r>
        <w:rPr>
          <w:rFonts w:hint="eastAsia"/>
          <w:sz w:val="24"/>
        </w:rPr>
        <w:t xml:space="preserve">    通讯地址：</w:t>
      </w:r>
      <w:r>
        <w:rPr>
          <w:rFonts w:hint="eastAsia"/>
          <w:sz w:val="24"/>
          <w:u w:val="single"/>
        </w:rPr>
        <w:t xml:space="preserve">                                       </w:t>
      </w:r>
    </w:p>
    <w:p>
      <w:pPr>
        <w:spacing w:line="360" w:lineRule="auto"/>
        <w:ind w:firstLine="480" w:firstLineChars="200"/>
        <w:rPr>
          <w:sz w:val="24"/>
        </w:rPr>
      </w:pPr>
      <w:r>
        <w:rPr>
          <w:rFonts w:hint="eastAsia"/>
          <w:sz w:val="24"/>
        </w:rPr>
        <w:t xml:space="preserve">    电话：</w:t>
      </w:r>
      <w:r>
        <w:rPr>
          <w:rFonts w:hint="eastAsia"/>
          <w:sz w:val="24"/>
          <w:u w:val="single"/>
        </w:rPr>
        <w:t xml:space="preserve">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单位名称：</w:t>
      </w:r>
      <w:r>
        <w:rPr>
          <w:rFonts w:hint="eastAsia"/>
          <w:sz w:val="24"/>
          <w:u w:val="single"/>
        </w:rPr>
        <w:t xml:space="preserve">                                       </w:t>
      </w:r>
      <w:r>
        <w:rPr>
          <w:rFonts w:hint="eastAsia"/>
          <w:sz w:val="24"/>
        </w:rPr>
        <w:t>（公章）</w:t>
      </w:r>
    </w:p>
    <w:p>
      <w:pPr>
        <w:spacing w:line="360" w:lineRule="auto"/>
        <w:ind w:firstLine="480" w:firstLineChars="200"/>
        <w:rPr>
          <w:sz w:val="24"/>
          <w:u w:val="single"/>
        </w:rPr>
      </w:pPr>
    </w:p>
    <w:p>
      <w:pPr>
        <w:spacing w:line="360" w:lineRule="auto"/>
        <w:ind w:firstLine="480" w:firstLineChars="200"/>
        <w:rPr>
          <w:sz w:val="24"/>
        </w:rPr>
      </w:pPr>
      <w:r>
        <w:rPr>
          <w:rFonts w:hint="eastAsia"/>
          <w:sz w:val="24"/>
        </w:rPr>
        <w:t>法定代表人：</w:t>
      </w:r>
      <w:r>
        <w:rPr>
          <w:rFonts w:hint="eastAsia"/>
          <w:sz w:val="24"/>
          <w:u w:val="single"/>
        </w:rPr>
        <w:t xml:space="preserve">                                       </w:t>
      </w:r>
      <w:r>
        <w:rPr>
          <w:rFonts w:hint="eastAsia"/>
          <w:sz w:val="24"/>
        </w:rPr>
        <w:t>（签章）</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rFonts w:hint="eastAsia"/>
          <w:sz w:val="24"/>
        </w:rPr>
        <w:t>本授权书有效期：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日至</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rFonts w:ascii="宋体" w:hAnsi="宋体"/>
          <w:b/>
          <w:bCs/>
          <w:sz w:val="24"/>
        </w:rPr>
      </w:pPr>
      <w:r>
        <w:rPr>
          <w:sz w:val="24"/>
        </w:rPr>
        <w:br w:type="page"/>
      </w:r>
      <w:r>
        <w:rPr>
          <w:rFonts w:hint="eastAsia" w:ascii="宋体" w:hAnsi="宋体"/>
          <w:b/>
          <w:sz w:val="24"/>
        </w:rPr>
        <w:t>运输招标</w:t>
      </w:r>
      <w:r>
        <w:rPr>
          <w:rFonts w:hint="eastAsia" w:ascii="宋体" w:hAnsi="宋体"/>
          <w:b/>
          <w:bCs/>
          <w:sz w:val="24"/>
        </w:rPr>
        <w:t>书附件3：</w:t>
      </w:r>
    </w:p>
    <w:p>
      <w:pPr>
        <w:spacing w:line="360" w:lineRule="auto"/>
        <w:jc w:val="center"/>
        <w:rPr>
          <w:b/>
          <w:bCs/>
          <w:sz w:val="24"/>
        </w:rPr>
      </w:pPr>
      <w:r>
        <w:rPr>
          <w:rFonts w:hint="eastAsia"/>
          <w:b/>
          <w:bCs/>
          <w:sz w:val="24"/>
        </w:rPr>
        <w:t>物流商基本数据采集表（一）</w:t>
      </w:r>
    </w:p>
    <w:tbl>
      <w:tblPr>
        <w:tblStyle w:val="19"/>
        <w:tblW w:w="8162"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9"/>
        <w:gridCol w:w="1418"/>
        <w:gridCol w:w="980"/>
        <w:gridCol w:w="1100"/>
        <w:gridCol w:w="1180"/>
        <w:gridCol w:w="1080"/>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tcPr>
          <w:p>
            <w:pPr>
              <w:pStyle w:val="37"/>
              <w:ind w:firstLine="0" w:firstLineChars="0"/>
              <w:jc w:val="center"/>
              <w:rPr>
                <w:rFonts w:ascii="宋体" w:hAnsi="宋体"/>
                <w:b/>
                <w:sz w:val="18"/>
                <w:szCs w:val="18"/>
              </w:rPr>
            </w:pPr>
            <w:r>
              <w:rPr>
                <w:rFonts w:hint="eastAsia" w:ascii="宋体" w:hAnsi="宋体"/>
                <w:b/>
                <w:sz w:val="18"/>
                <w:szCs w:val="18"/>
              </w:rPr>
              <w:t>项目</w:t>
            </w:r>
          </w:p>
        </w:tc>
        <w:tc>
          <w:tcPr>
            <w:tcW w:w="1418" w:type="dxa"/>
          </w:tcPr>
          <w:p>
            <w:pPr>
              <w:pStyle w:val="37"/>
              <w:ind w:firstLine="0" w:firstLineChars="0"/>
              <w:jc w:val="center"/>
              <w:rPr>
                <w:rFonts w:ascii="宋体" w:hAnsi="宋体"/>
                <w:b/>
                <w:sz w:val="18"/>
                <w:szCs w:val="18"/>
              </w:rPr>
            </w:pPr>
            <w:r>
              <w:rPr>
                <w:rFonts w:hint="eastAsia" w:ascii="宋体" w:hAnsi="宋体"/>
                <w:b/>
                <w:sz w:val="18"/>
                <w:szCs w:val="18"/>
              </w:rPr>
              <w:t>项次</w:t>
            </w:r>
          </w:p>
        </w:tc>
        <w:tc>
          <w:tcPr>
            <w:tcW w:w="5295" w:type="dxa"/>
            <w:gridSpan w:val="5"/>
          </w:tcPr>
          <w:p>
            <w:pPr>
              <w:pStyle w:val="37"/>
              <w:ind w:firstLine="0" w:firstLineChars="0"/>
              <w:jc w:val="center"/>
              <w:rPr>
                <w:rFonts w:ascii="宋体" w:hAnsi="宋体"/>
                <w:b/>
                <w:sz w:val="18"/>
                <w:szCs w:val="18"/>
              </w:rPr>
            </w:pPr>
            <w:r>
              <w:rPr>
                <w:rFonts w:hint="eastAsia" w:ascii="宋体" w:hAnsi="宋体"/>
                <w:b/>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restart"/>
            <w:vAlign w:val="center"/>
          </w:tcPr>
          <w:p>
            <w:pPr>
              <w:pStyle w:val="37"/>
              <w:ind w:firstLine="0" w:firstLineChars="0"/>
              <w:jc w:val="center"/>
              <w:rPr>
                <w:rFonts w:ascii="宋体" w:hAnsi="宋体"/>
                <w:sz w:val="18"/>
                <w:szCs w:val="18"/>
              </w:rPr>
            </w:pPr>
            <w:r>
              <w:rPr>
                <w:rFonts w:hint="eastAsia" w:ascii="宋体" w:hAnsi="宋体"/>
                <w:sz w:val="18"/>
                <w:szCs w:val="18"/>
              </w:rPr>
              <w:t>物流商的资质</w:t>
            </w:r>
          </w:p>
        </w:tc>
        <w:tc>
          <w:tcPr>
            <w:tcW w:w="1418" w:type="dxa"/>
          </w:tcPr>
          <w:p>
            <w:pPr>
              <w:pStyle w:val="37"/>
              <w:ind w:firstLine="0" w:firstLineChars="0"/>
              <w:jc w:val="left"/>
              <w:rPr>
                <w:rFonts w:ascii="宋体" w:hAnsi="宋体"/>
                <w:sz w:val="18"/>
                <w:szCs w:val="18"/>
              </w:rPr>
            </w:pPr>
            <w:r>
              <w:rPr>
                <w:rFonts w:hint="eastAsia" w:ascii="宋体" w:hAnsi="宋体"/>
                <w:sz w:val="18"/>
                <w:szCs w:val="18"/>
              </w:rPr>
              <w:t>物流商名称</w:t>
            </w:r>
          </w:p>
        </w:tc>
        <w:tc>
          <w:tcPr>
            <w:tcW w:w="5295" w:type="dxa"/>
            <w:gridSpan w:val="5"/>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continue"/>
          </w:tcPr>
          <w:p>
            <w:pPr>
              <w:pStyle w:val="37"/>
              <w:ind w:firstLine="0" w:firstLineChars="0"/>
              <w:jc w:val="left"/>
              <w:rPr>
                <w:rFonts w:ascii="宋体" w:hAnsi="宋体"/>
                <w:sz w:val="18"/>
                <w:szCs w:val="18"/>
              </w:rPr>
            </w:pPr>
          </w:p>
        </w:tc>
        <w:tc>
          <w:tcPr>
            <w:tcW w:w="1418" w:type="dxa"/>
          </w:tcPr>
          <w:p>
            <w:pPr>
              <w:pStyle w:val="37"/>
              <w:ind w:firstLine="0" w:firstLineChars="0"/>
              <w:jc w:val="left"/>
              <w:rPr>
                <w:rFonts w:ascii="宋体" w:hAnsi="宋体"/>
                <w:sz w:val="18"/>
                <w:szCs w:val="18"/>
              </w:rPr>
            </w:pPr>
            <w:r>
              <w:rPr>
                <w:rFonts w:hint="eastAsia" w:ascii="宋体" w:hAnsi="宋体"/>
                <w:sz w:val="18"/>
                <w:szCs w:val="18"/>
              </w:rPr>
              <w:t>物流商资质</w:t>
            </w:r>
          </w:p>
        </w:tc>
        <w:tc>
          <w:tcPr>
            <w:tcW w:w="5295" w:type="dxa"/>
            <w:gridSpan w:val="5"/>
          </w:tcPr>
          <w:p>
            <w:pPr>
              <w:pStyle w:val="37"/>
              <w:ind w:firstLine="0" w:firstLineChars="0"/>
              <w:jc w:val="left"/>
              <w:rPr>
                <w:rFonts w:ascii="宋体" w:hAnsi="宋体"/>
                <w:sz w:val="18"/>
                <w:szCs w:val="18"/>
              </w:rPr>
            </w:pPr>
            <w:r>
              <w:rPr>
                <w:rFonts w:hint="eastAsia" w:ascii="宋体" w:hAnsi="宋体"/>
                <w:sz w:val="18"/>
                <w:szCs w:val="18"/>
              </w:rPr>
              <w:t>1.企业法人营业执照：</w:t>
            </w:r>
          </w:p>
          <w:p>
            <w:pPr>
              <w:pStyle w:val="37"/>
              <w:ind w:firstLine="0" w:firstLineChars="0"/>
              <w:jc w:val="left"/>
              <w:rPr>
                <w:rFonts w:ascii="宋体" w:hAnsi="宋体"/>
                <w:sz w:val="18"/>
                <w:szCs w:val="18"/>
              </w:rPr>
            </w:pPr>
            <w:r>
              <w:rPr>
                <w:rFonts w:hint="eastAsia" w:ascii="宋体" w:hAnsi="宋体"/>
                <w:sz w:val="18"/>
                <w:szCs w:val="18"/>
              </w:rPr>
              <w:t>2.税务登记证：</w:t>
            </w:r>
          </w:p>
          <w:p>
            <w:pPr>
              <w:pStyle w:val="37"/>
              <w:ind w:firstLine="0" w:firstLineChars="0"/>
              <w:jc w:val="left"/>
              <w:rPr>
                <w:rFonts w:ascii="宋体" w:hAnsi="宋体"/>
                <w:sz w:val="18"/>
                <w:szCs w:val="18"/>
              </w:rPr>
            </w:pPr>
            <w:r>
              <w:rPr>
                <w:rFonts w:hint="eastAsia" w:ascii="宋体" w:hAnsi="宋体"/>
                <w:sz w:val="18"/>
                <w:szCs w:val="18"/>
              </w:rPr>
              <w:t>3.组织机构代码证：</w:t>
            </w:r>
          </w:p>
          <w:p>
            <w:pPr>
              <w:pStyle w:val="37"/>
              <w:ind w:firstLine="0" w:firstLineChars="0"/>
              <w:jc w:val="left"/>
              <w:rPr>
                <w:rFonts w:ascii="宋体" w:hAnsi="宋体"/>
                <w:sz w:val="18"/>
                <w:szCs w:val="18"/>
              </w:rPr>
            </w:pPr>
            <w:r>
              <w:rPr>
                <w:rFonts w:hint="eastAsia" w:ascii="宋体" w:hAnsi="宋体"/>
                <w:sz w:val="18"/>
                <w:szCs w:val="18"/>
              </w:rPr>
              <w:t>4.道路运输许可证：</w:t>
            </w:r>
          </w:p>
          <w:p>
            <w:pPr>
              <w:pStyle w:val="37"/>
              <w:ind w:firstLine="0" w:firstLineChars="0"/>
              <w:jc w:val="left"/>
              <w:rPr>
                <w:rFonts w:ascii="宋体" w:hAnsi="宋体"/>
                <w:sz w:val="18"/>
                <w:szCs w:val="18"/>
              </w:rPr>
            </w:pPr>
            <w:r>
              <w:rPr>
                <w:rFonts w:hint="eastAsia" w:ascii="宋体" w:hAnsi="宋体"/>
                <w:sz w:val="18"/>
                <w:szCs w:val="18"/>
              </w:rPr>
              <w:t>5.其他文件如有，请指明：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continue"/>
          </w:tcPr>
          <w:p>
            <w:pPr>
              <w:pStyle w:val="37"/>
              <w:ind w:firstLine="0" w:firstLineChars="0"/>
              <w:jc w:val="left"/>
              <w:rPr>
                <w:rFonts w:ascii="宋体" w:hAnsi="宋体"/>
                <w:sz w:val="18"/>
                <w:szCs w:val="18"/>
              </w:rPr>
            </w:pPr>
          </w:p>
        </w:tc>
        <w:tc>
          <w:tcPr>
            <w:tcW w:w="1418" w:type="dxa"/>
            <w:vMerge w:val="restart"/>
            <w:vAlign w:val="center"/>
          </w:tcPr>
          <w:p>
            <w:pPr>
              <w:pStyle w:val="37"/>
              <w:ind w:firstLine="0" w:firstLineChars="0"/>
              <w:jc w:val="center"/>
              <w:rPr>
                <w:rFonts w:ascii="宋体" w:hAnsi="宋体"/>
                <w:sz w:val="18"/>
                <w:szCs w:val="18"/>
              </w:rPr>
            </w:pPr>
            <w:r>
              <w:rPr>
                <w:rFonts w:hint="eastAsia" w:ascii="宋体" w:hAnsi="宋体"/>
                <w:sz w:val="18"/>
                <w:szCs w:val="18"/>
              </w:rPr>
              <w:t>主要服务对象</w:t>
            </w:r>
          </w:p>
        </w:tc>
        <w:tc>
          <w:tcPr>
            <w:tcW w:w="980" w:type="dxa"/>
            <w:tcBorders>
              <w:bottom w:val="single" w:color="auto" w:sz="4" w:space="0"/>
              <w:right w:val="single" w:color="auto" w:sz="4" w:space="0"/>
            </w:tcBorders>
          </w:tcPr>
          <w:p>
            <w:pPr>
              <w:pStyle w:val="37"/>
              <w:ind w:firstLine="0" w:firstLineChars="0"/>
              <w:jc w:val="center"/>
              <w:rPr>
                <w:rFonts w:ascii="宋体" w:hAnsi="宋体"/>
                <w:sz w:val="18"/>
                <w:szCs w:val="18"/>
              </w:rPr>
            </w:pPr>
            <w:r>
              <w:rPr>
                <w:rFonts w:hint="eastAsia" w:ascii="宋体" w:hAnsi="宋体"/>
                <w:sz w:val="18"/>
                <w:szCs w:val="18"/>
              </w:rPr>
              <w:t>企业名称</w:t>
            </w:r>
          </w:p>
        </w:tc>
        <w:tc>
          <w:tcPr>
            <w:tcW w:w="1100" w:type="dxa"/>
            <w:tcBorders>
              <w:left w:val="single" w:color="auto" w:sz="4" w:space="0"/>
              <w:right w:val="single" w:color="auto" w:sz="4" w:space="0"/>
            </w:tcBorders>
          </w:tcPr>
          <w:p>
            <w:pPr>
              <w:pStyle w:val="37"/>
              <w:ind w:firstLine="0" w:firstLineChars="0"/>
              <w:jc w:val="center"/>
              <w:rPr>
                <w:rFonts w:ascii="宋体" w:hAnsi="宋体"/>
                <w:sz w:val="18"/>
                <w:szCs w:val="18"/>
              </w:rPr>
            </w:pPr>
            <w:r>
              <w:rPr>
                <w:rFonts w:hint="eastAsia" w:ascii="宋体" w:hAnsi="宋体"/>
                <w:sz w:val="18"/>
                <w:szCs w:val="18"/>
              </w:rPr>
              <w:t>服务区域</w:t>
            </w:r>
          </w:p>
        </w:tc>
        <w:tc>
          <w:tcPr>
            <w:tcW w:w="1180" w:type="dxa"/>
            <w:tcBorders>
              <w:left w:val="single" w:color="auto" w:sz="4" w:space="0"/>
              <w:right w:val="single" w:color="auto" w:sz="4" w:space="0"/>
            </w:tcBorders>
          </w:tcPr>
          <w:p>
            <w:pPr>
              <w:pStyle w:val="37"/>
              <w:ind w:firstLine="0" w:firstLineChars="0"/>
              <w:jc w:val="center"/>
              <w:rPr>
                <w:rFonts w:ascii="宋体" w:hAnsi="宋体"/>
                <w:sz w:val="18"/>
                <w:szCs w:val="18"/>
              </w:rPr>
            </w:pPr>
            <w:r>
              <w:rPr>
                <w:rFonts w:hint="eastAsia" w:ascii="宋体" w:hAnsi="宋体"/>
                <w:sz w:val="18"/>
                <w:szCs w:val="18"/>
              </w:rPr>
              <w:t>服务份额</w:t>
            </w:r>
          </w:p>
        </w:tc>
        <w:tc>
          <w:tcPr>
            <w:tcW w:w="1080" w:type="dxa"/>
            <w:tcBorders>
              <w:left w:val="single" w:color="auto" w:sz="4" w:space="0"/>
              <w:right w:val="single" w:color="auto" w:sz="4" w:space="0"/>
            </w:tcBorders>
          </w:tcPr>
          <w:p>
            <w:pPr>
              <w:pStyle w:val="37"/>
              <w:ind w:firstLine="0" w:firstLineChars="0"/>
              <w:jc w:val="center"/>
              <w:rPr>
                <w:rFonts w:ascii="宋体" w:hAnsi="宋体"/>
                <w:sz w:val="18"/>
                <w:szCs w:val="18"/>
              </w:rPr>
            </w:pPr>
            <w:r>
              <w:rPr>
                <w:rFonts w:hint="eastAsia" w:ascii="宋体" w:hAnsi="宋体"/>
                <w:sz w:val="18"/>
                <w:szCs w:val="18"/>
              </w:rPr>
              <w:t>服务时间</w:t>
            </w:r>
          </w:p>
        </w:tc>
        <w:tc>
          <w:tcPr>
            <w:tcW w:w="955" w:type="dxa"/>
            <w:tcBorders>
              <w:left w:val="single" w:color="auto" w:sz="4" w:space="0"/>
            </w:tcBorders>
          </w:tcPr>
          <w:p>
            <w:pPr>
              <w:pStyle w:val="37"/>
              <w:ind w:firstLine="0" w:firstLineChars="0"/>
              <w:jc w:val="center"/>
              <w:rPr>
                <w:rFonts w:ascii="宋体" w:hAnsi="宋体"/>
                <w:sz w:val="18"/>
                <w:szCs w:val="18"/>
              </w:rPr>
            </w:pPr>
            <w:r>
              <w:rPr>
                <w:rFonts w:hint="eastAsia" w:ascii="宋体" w:hAnsi="宋体"/>
                <w:sz w:val="18"/>
                <w:szCs w:val="18"/>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continue"/>
          </w:tcPr>
          <w:p>
            <w:pPr>
              <w:pStyle w:val="37"/>
              <w:ind w:firstLine="0" w:firstLineChars="0"/>
              <w:jc w:val="left"/>
              <w:rPr>
                <w:rFonts w:ascii="宋体" w:hAnsi="宋体"/>
                <w:sz w:val="18"/>
                <w:szCs w:val="18"/>
              </w:rPr>
            </w:pPr>
          </w:p>
        </w:tc>
        <w:tc>
          <w:tcPr>
            <w:tcW w:w="1418" w:type="dxa"/>
            <w:vMerge w:val="continue"/>
          </w:tcPr>
          <w:p>
            <w:pPr>
              <w:pStyle w:val="37"/>
              <w:ind w:firstLine="0" w:firstLineChars="0"/>
              <w:jc w:val="left"/>
              <w:rPr>
                <w:rFonts w:ascii="宋体" w:hAnsi="宋体"/>
                <w:sz w:val="18"/>
                <w:szCs w:val="18"/>
              </w:rPr>
            </w:pPr>
          </w:p>
        </w:tc>
        <w:tc>
          <w:tcPr>
            <w:tcW w:w="980" w:type="dxa"/>
            <w:tcBorders>
              <w:top w:val="single" w:color="auto" w:sz="4" w:space="0"/>
              <w:right w:val="single" w:color="auto" w:sz="4" w:space="0"/>
            </w:tcBorders>
          </w:tcPr>
          <w:p>
            <w:pPr>
              <w:pStyle w:val="37"/>
              <w:ind w:firstLine="0" w:firstLineChars="0"/>
              <w:jc w:val="left"/>
              <w:rPr>
                <w:rFonts w:ascii="宋体" w:hAnsi="宋体"/>
                <w:sz w:val="18"/>
                <w:szCs w:val="18"/>
              </w:rPr>
            </w:pPr>
          </w:p>
        </w:tc>
        <w:tc>
          <w:tcPr>
            <w:tcW w:w="110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1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0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955"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continue"/>
          </w:tcPr>
          <w:p>
            <w:pPr>
              <w:pStyle w:val="37"/>
              <w:ind w:firstLine="0" w:firstLineChars="0"/>
              <w:jc w:val="left"/>
              <w:rPr>
                <w:rFonts w:ascii="宋体" w:hAnsi="宋体"/>
                <w:sz w:val="18"/>
                <w:szCs w:val="18"/>
              </w:rPr>
            </w:pPr>
          </w:p>
        </w:tc>
        <w:tc>
          <w:tcPr>
            <w:tcW w:w="1418" w:type="dxa"/>
            <w:vMerge w:val="continue"/>
          </w:tcPr>
          <w:p>
            <w:pPr>
              <w:pStyle w:val="37"/>
              <w:ind w:firstLine="0" w:firstLineChars="0"/>
              <w:jc w:val="left"/>
              <w:rPr>
                <w:rFonts w:ascii="宋体" w:hAnsi="宋体"/>
                <w:sz w:val="18"/>
                <w:szCs w:val="18"/>
              </w:rPr>
            </w:pPr>
          </w:p>
        </w:tc>
        <w:tc>
          <w:tcPr>
            <w:tcW w:w="980" w:type="dxa"/>
            <w:tcBorders>
              <w:right w:val="single" w:color="auto" w:sz="4" w:space="0"/>
            </w:tcBorders>
          </w:tcPr>
          <w:p>
            <w:pPr>
              <w:pStyle w:val="37"/>
              <w:ind w:firstLine="0" w:firstLineChars="0"/>
              <w:jc w:val="left"/>
              <w:rPr>
                <w:rFonts w:ascii="宋体" w:hAnsi="宋体"/>
                <w:sz w:val="18"/>
                <w:szCs w:val="18"/>
              </w:rPr>
            </w:pPr>
          </w:p>
        </w:tc>
        <w:tc>
          <w:tcPr>
            <w:tcW w:w="110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1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0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955"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9" w:type="dxa"/>
            <w:vMerge w:val="continue"/>
          </w:tcPr>
          <w:p>
            <w:pPr>
              <w:pStyle w:val="37"/>
              <w:ind w:firstLine="0" w:firstLineChars="0"/>
              <w:jc w:val="left"/>
              <w:rPr>
                <w:rFonts w:ascii="宋体" w:hAnsi="宋体"/>
                <w:sz w:val="18"/>
                <w:szCs w:val="18"/>
              </w:rPr>
            </w:pPr>
          </w:p>
        </w:tc>
        <w:tc>
          <w:tcPr>
            <w:tcW w:w="1418" w:type="dxa"/>
            <w:vMerge w:val="continue"/>
          </w:tcPr>
          <w:p>
            <w:pPr>
              <w:pStyle w:val="37"/>
              <w:ind w:firstLine="0" w:firstLineChars="0"/>
              <w:jc w:val="left"/>
              <w:rPr>
                <w:rFonts w:ascii="宋体" w:hAnsi="宋体"/>
                <w:sz w:val="18"/>
                <w:szCs w:val="18"/>
              </w:rPr>
            </w:pPr>
          </w:p>
        </w:tc>
        <w:tc>
          <w:tcPr>
            <w:tcW w:w="980" w:type="dxa"/>
            <w:tcBorders>
              <w:right w:val="single" w:color="auto" w:sz="4" w:space="0"/>
            </w:tcBorders>
          </w:tcPr>
          <w:p>
            <w:pPr>
              <w:pStyle w:val="37"/>
              <w:ind w:firstLine="0" w:firstLineChars="0"/>
              <w:jc w:val="left"/>
              <w:rPr>
                <w:rFonts w:ascii="宋体" w:hAnsi="宋体"/>
                <w:sz w:val="18"/>
                <w:szCs w:val="18"/>
              </w:rPr>
            </w:pPr>
          </w:p>
        </w:tc>
        <w:tc>
          <w:tcPr>
            <w:tcW w:w="110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1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08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955" w:type="dxa"/>
            <w:tcBorders>
              <w:left w:val="single" w:color="auto" w:sz="4" w:space="0"/>
            </w:tcBorders>
          </w:tcPr>
          <w:p>
            <w:pPr>
              <w:pStyle w:val="37"/>
              <w:ind w:firstLine="0" w:firstLineChars="0"/>
              <w:jc w:val="left"/>
              <w:rPr>
                <w:rFonts w:ascii="宋体" w:hAnsi="宋体"/>
                <w:sz w:val="18"/>
                <w:szCs w:val="18"/>
              </w:rPr>
            </w:pPr>
          </w:p>
        </w:tc>
      </w:tr>
    </w:tbl>
    <w:p>
      <w:pPr>
        <w:spacing w:line="360" w:lineRule="auto"/>
        <w:jc w:val="center"/>
        <w:rPr>
          <w:b/>
          <w:bCs/>
          <w:sz w:val="24"/>
        </w:rPr>
      </w:pPr>
    </w:p>
    <w:p>
      <w:pPr>
        <w:spacing w:line="360" w:lineRule="auto"/>
        <w:jc w:val="center"/>
        <w:rPr>
          <w:b/>
          <w:bCs/>
          <w:sz w:val="24"/>
        </w:rPr>
      </w:pPr>
      <w:r>
        <w:rPr>
          <w:rFonts w:hint="eastAsia"/>
          <w:b/>
          <w:bCs/>
          <w:sz w:val="24"/>
        </w:rPr>
        <w:t>物流商基本数据采集表（二）</w:t>
      </w:r>
    </w:p>
    <w:tbl>
      <w:tblPr>
        <w:tblStyle w:val="19"/>
        <w:tblW w:w="8162"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8"/>
        <w:gridCol w:w="1843"/>
        <w:gridCol w:w="980"/>
        <w:gridCol w:w="12"/>
        <w:gridCol w:w="663"/>
        <w:gridCol w:w="755"/>
        <w:gridCol w:w="710"/>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tcPr>
          <w:p>
            <w:pPr>
              <w:pStyle w:val="37"/>
              <w:ind w:firstLine="0" w:firstLineChars="0"/>
              <w:jc w:val="center"/>
              <w:rPr>
                <w:rFonts w:ascii="宋体" w:hAnsi="宋体"/>
                <w:b/>
                <w:sz w:val="18"/>
                <w:szCs w:val="18"/>
              </w:rPr>
            </w:pPr>
            <w:r>
              <w:rPr>
                <w:rFonts w:hint="eastAsia" w:ascii="宋体" w:hAnsi="宋体"/>
                <w:b/>
                <w:sz w:val="18"/>
                <w:szCs w:val="18"/>
              </w:rPr>
              <w:t>项目</w:t>
            </w:r>
          </w:p>
        </w:tc>
        <w:tc>
          <w:tcPr>
            <w:tcW w:w="1843" w:type="dxa"/>
          </w:tcPr>
          <w:p>
            <w:pPr>
              <w:pStyle w:val="37"/>
              <w:ind w:firstLine="0" w:firstLineChars="0"/>
              <w:jc w:val="center"/>
              <w:rPr>
                <w:rFonts w:ascii="宋体" w:hAnsi="宋体"/>
                <w:b/>
                <w:sz w:val="18"/>
                <w:szCs w:val="18"/>
              </w:rPr>
            </w:pPr>
            <w:r>
              <w:rPr>
                <w:rFonts w:hint="eastAsia" w:ascii="宋体" w:hAnsi="宋体"/>
                <w:b/>
                <w:sz w:val="18"/>
                <w:szCs w:val="18"/>
              </w:rPr>
              <w:t>项次</w:t>
            </w:r>
          </w:p>
        </w:tc>
        <w:tc>
          <w:tcPr>
            <w:tcW w:w="4871" w:type="dxa"/>
            <w:gridSpan w:val="6"/>
          </w:tcPr>
          <w:p>
            <w:pPr>
              <w:pStyle w:val="37"/>
              <w:ind w:firstLine="0" w:firstLineChars="0"/>
              <w:jc w:val="center"/>
              <w:rPr>
                <w:rFonts w:ascii="宋体" w:hAnsi="宋体"/>
                <w:b/>
                <w:sz w:val="18"/>
                <w:szCs w:val="18"/>
              </w:rPr>
            </w:pPr>
            <w:r>
              <w:rPr>
                <w:rFonts w:hint="eastAsia" w:ascii="宋体" w:hAnsi="宋体"/>
                <w:b/>
                <w:sz w:val="18"/>
                <w:szCs w:val="1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restart"/>
            <w:vAlign w:val="center"/>
          </w:tcPr>
          <w:p>
            <w:pPr>
              <w:pStyle w:val="37"/>
              <w:ind w:firstLine="0" w:firstLineChars="0"/>
              <w:jc w:val="center"/>
              <w:rPr>
                <w:rFonts w:ascii="宋体" w:hAnsi="宋体"/>
                <w:sz w:val="18"/>
                <w:szCs w:val="18"/>
              </w:rPr>
            </w:pPr>
            <w:r>
              <w:rPr>
                <w:rFonts w:hint="eastAsia" w:ascii="宋体" w:hAnsi="宋体"/>
                <w:sz w:val="18"/>
                <w:szCs w:val="18"/>
              </w:rPr>
              <w:t>运输基本状况</w:t>
            </w:r>
          </w:p>
        </w:tc>
        <w:tc>
          <w:tcPr>
            <w:tcW w:w="1843" w:type="dxa"/>
          </w:tcPr>
          <w:p>
            <w:pPr>
              <w:pStyle w:val="37"/>
              <w:ind w:firstLine="0" w:firstLineChars="0"/>
              <w:jc w:val="left"/>
              <w:rPr>
                <w:rFonts w:ascii="宋体" w:hAnsi="宋体"/>
                <w:sz w:val="18"/>
                <w:szCs w:val="18"/>
              </w:rPr>
            </w:pPr>
            <w:r>
              <w:rPr>
                <w:rFonts w:hint="eastAsia" w:ascii="宋体" w:hAnsi="宋体"/>
                <w:sz w:val="18"/>
                <w:szCs w:val="18"/>
              </w:rPr>
              <w:t>自有运输车辆总数</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restart"/>
            <w:vAlign w:val="center"/>
          </w:tcPr>
          <w:p>
            <w:pPr>
              <w:pStyle w:val="37"/>
              <w:ind w:firstLine="0" w:firstLineChars="0"/>
              <w:rPr>
                <w:rFonts w:ascii="宋体" w:hAnsi="宋体"/>
                <w:sz w:val="18"/>
                <w:szCs w:val="18"/>
              </w:rPr>
            </w:pPr>
            <w:r>
              <w:rPr>
                <w:rFonts w:hint="eastAsia" w:ascii="宋体" w:hAnsi="宋体"/>
                <w:sz w:val="18"/>
                <w:szCs w:val="18"/>
              </w:rPr>
              <w:t>自有车辆详细情况</w:t>
            </w:r>
          </w:p>
        </w:tc>
        <w:tc>
          <w:tcPr>
            <w:tcW w:w="992" w:type="dxa"/>
            <w:gridSpan w:val="2"/>
            <w:tcBorders>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车辆车型</w:t>
            </w: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吨位</w:t>
            </w: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体积</w:t>
            </w: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数量</w:t>
            </w:r>
          </w:p>
        </w:tc>
        <w:tc>
          <w:tcPr>
            <w:tcW w:w="1751" w:type="dxa"/>
            <w:tcBorders>
              <w:lef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承运区域与路线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rPr>
                <w:rFonts w:ascii="宋体" w:hAnsi="宋体"/>
                <w:sz w:val="18"/>
                <w:szCs w:val="18"/>
              </w:rPr>
            </w:pPr>
          </w:p>
        </w:tc>
        <w:tc>
          <w:tcPr>
            <w:tcW w:w="1751" w:type="dxa"/>
            <w:tcBorders>
              <w:left w:val="single" w:color="auto" w:sz="4" w:space="0"/>
            </w:tcBorders>
          </w:tcPr>
          <w:p>
            <w:pPr>
              <w:pStyle w:val="37"/>
              <w:ind w:firstLine="0" w:firstLineChars="0"/>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360"/>
              <w:jc w:val="left"/>
              <w:rPr>
                <w:rFonts w:ascii="宋体" w:hAnsi="宋体"/>
                <w:sz w:val="18"/>
                <w:szCs w:val="18"/>
              </w:rPr>
            </w:pPr>
          </w:p>
        </w:tc>
        <w:tc>
          <w:tcPr>
            <w:tcW w:w="1843" w:type="dxa"/>
            <w:vMerge w:val="continue"/>
          </w:tcPr>
          <w:p>
            <w:pPr>
              <w:pStyle w:val="37"/>
              <w:ind w:firstLine="360"/>
              <w:jc w:val="left"/>
              <w:rPr>
                <w:rFonts w:ascii="宋体" w:hAnsi="宋体"/>
                <w:sz w:val="18"/>
                <w:szCs w:val="18"/>
              </w:rPr>
            </w:pPr>
          </w:p>
        </w:tc>
        <w:tc>
          <w:tcPr>
            <w:tcW w:w="992" w:type="dxa"/>
            <w:gridSpan w:val="2"/>
            <w:tcBorders>
              <w:top w:val="single" w:color="auto" w:sz="4" w:space="0"/>
              <w:right w:val="single" w:color="auto" w:sz="4" w:space="0"/>
            </w:tcBorders>
          </w:tcPr>
          <w:p>
            <w:pPr>
              <w:pStyle w:val="37"/>
              <w:ind w:firstLine="0" w:firstLineChars="0"/>
              <w:jc w:val="left"/>
              <w:rPr>
                <w:rFonts w:ascii="宋体" w:hAnsi="宋体"/>
                <w:sz w:val="18"/>
                <w:szCs w:val="18"/>
              </w:rPr>
            </w:pPr>
          </w:p>
        </w:tc>
        <w:tc>
          <w:tcPr>
            <w:tcW w:w="663"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固定使用车辆总数</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restart"/>
            <w:vAlign w:val="center"/>
          </w:tcPr>
          <w:p>
            <w:pPr>
              <w:pStyle w:val="37"/>
              <w:ind w:firstLine="0" w:firstLineChars="0"/>
              <w:rPr>
                <w:rFonts w:ascii="宋体" w:hAnsi="宋体"/>
                <w:sz w:val="18"/>
                <w:szCs w:val="18"/>
              </w:rPr>
            </w:pPr>
            <w:r>
              <w:rPr>
                <w:rFonts w:hint="eastAsia" w:ascii="宋体" w:hAnsi="宋体"/>
                <w:sz w:val="18"/>
                <w:szCs w:val="18"/>
              </w:rPr>
              <w:t>固定车辆详细情况</w:t>
            </w:r>
          </w:p>
        </w:tc>
        <w:tc>
          <w:tcPr>
            <w:tcW w:w="992" w:type="dxa"/>
            <w:gridSpan w:val="2"/>
            <w:tcBorders>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车辆车型</w:t>
            </w: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吨位</w:t>
            </w: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体积</w:t>
            </w: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数量</w:t>
            </w:r>
          </w:p>
        </w:tc>
        <w:tc>
          <w:tcPr>
            <w:tcW w:w="1751" w:type="dxa"/>
            <w:tcBorders>
              <w:left w:val="single" w:color="auto" w:sz="4" w:space="0"/>
            </w:tcBorders>
          </w:tcPr>
          <w:p>
            <w:pPr>
              <w:pStyle w:val="37"/>
              <w:ind w:firstLine="0" w:firstLineChars="0"/>
              <w:jc w:val="left"/>
              <w:rPr>
                <w:rFonts w:ascii="宋体" w:hAnsi="宋体"/>
                <w:sz w:val="18"/>
                <w:szCs w:val="18"/>
              </w:rPr>
            </w:pPr>
            <w:r>
              <w:rPr>
                <w:rFonts w:hint="eastAsia" w:ascii="宋体" w:hAnsi="宋体"/>
                <w:sz w:val="18"/>
                <w:szCs w:val="18"/>
              </w:rPr>
              <w:t>承运区域与路线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92" w:type="dxa"/>
            <w:gridSpan w:val="2"/>
            <w:tcBorders>
              <w:right w:val="single" w:color="auto" w:sz="4" w:space="0"/>
            </w:tcBorders>
          </w:tcPr>
          <w:p>
            <w:pPr>
              <w:pStyle w:val="37"/>
              <w:ind w:firstLine="0" w:firstLineChars="0"/>
              <w:jc w:val="left"/>
              <w:rPr>
                <w:rFonts w:ascii="宋体" w:hAnsi="宋体"/>
                <w:sz w:val="18"/>
                <w:szCs w:val="18"/>
              </w:rPr>
            </w:pPr>
          </w:p>
        </w:tc>
        <w:tc>
          <w:tcPr>
            <w:tcW w:w="663"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55"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及时送达率</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vAlign w:val="center"/>
          </w:tcPr>
          <w:p>
            <w:pPr>
              <w:pStyle w:val="37"/>
              <w:ind w:firstLine="0" w:firstLineChars="0"/>
              <w:rPr>
                <w:rFonts w:ascii="宋体" w:hAnsi="宋体"/>
                <w:sz w:val="18"/>
                <w:szCs w:val="18"/>
              </w:rPr>
            </w:pPr>
          </w:p>
        </w:tc>
        <w:tc>
          <w:tcPr>
            <w:tcW w:w="1843" w:type="dxa"/>
            <w:vMerge w:val="restart"/>
          </w:tcPr>
          <w:p>
            <w:pPr>
              <w:pStyle w:val="37"/>
              <w:ind w:firstLine="0" w:firstLineChars="0"/>
              <w:jc w:val="left"/>
              <w:rPr>
                <w:rFonts w:ascii="宋体" w:hAnsi="宋体"/>
                <w:sz w:val="18"/>
                <w:szCs w:val="18"/>
              </w:rPr>
            </w:pPr>
            <w:r>
              <w:rPr>
                <w:rFonts w:hint="eastAsia" w:ascii="宋体" w:hAnsi="宋体"/>
                <w:sz w:val="18"/>
                <w:szCs w:val="18"/>
              </w:rPr>
              <w:t>回单及时率</w:t>
            </w:r>
          </w:p>
          <w:p>
            <w:pPr>
              <w:pStyle w:val="37"/>
              <w:ind w:firstLine="0" w:firstLineChars="0"/>
              <w:jc w:val="left"/>
              <w:rPr>
                <w:rFonts w:ascii="宋体" w:hAnsi="宋体"/>
                <w:sz w:val="18"/>
                <w:szCs w:val="18"/>
              </w:rPr>
            </w:pPr>
            <w:r>
              <w:rPr>
                <w:rFonts w:hint="eastAsia" w:ascii="宋体" w:hAnsi="宋体"/>
                <w:sz w:val="18"/>
                <w:szCs w:val="18"/>
              </w:rPr>
              <w:t>未按时提交准确报表率</w:t>
            </w:r>
          </w:p>
          <w:p>
            <w:pPr>
              <w:pStyle w:val="37"/>
              <w:ind w:firstLine="0" w:firstLineChars="0"/>
              <w:jc w:val="left"/>
              <w:rPr>
                <w:rFonts w:ascii="宋体" w:hAnsi="宋体"/>
                <w:sz w:val="18"/>
                <w:szCs w:val="18"/>
              </w:rPr>
            </w:pPr>
            <w:r>
              <w:rPr>
                <w:rFonts w:hint="eastAsia" w:ascii="宋体" w:hAnsi="宋体"/>
                <w:sz w:val="18"/>
                <w:szCs w:val="18"/>
              </w:rPr>
              <w:t>未及时反馈物流事故率</w:t>
            </w:r>
          </w:p>
          <w:p>
            <w:pPr>
              <w:pStyle w:val="37"/>
              <w:ind w:firstLine="0" w:firstLineChars="0"/>
              <w:jc w:val="left"/>
              <w:rPr>
                <w:rFonts w:ascii="宋体" w:hAnsi="宋体"/>
                <w:sz w:val="18"/>
                <w:szCs w:val="18"/>
              </w:rPr>
            </w:pPr>
            <w:r>
              <w:rPr>
                <w:rFonts w:hint="eastAsia" w:ascii="宋体" w:hAnsi="宋体"/>
                <w:sz w:val="18"/>
                <w:szCs w:val="18"/>
              </w:rPr>
              <w:t>客户投诉</w:t>
            </w: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360"/>
              <w:jc w:val="left"/>
              <w:rPr>
                <w:rFonts w:ascii="宋体" w:hAnsi="宋体"/>
                <w:sz w:val="18"/>
                <w:szCs w:val="18"/>
              </w:rPr>
            </w:pP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vAlign w:val="center"/>
          </w:tcPr>
          <w:p>
            <w:pPr>
              <w:pStyle w:val="37"/>
              <w:ind w:firstLine="0" w:firstLineChars="0"/>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企业网站</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rPr>
                <w:rFonts w:ascii="宋体" w:hAnsi="宋体"/>
                <w:sz w:val="18"/>
                <w:szCs w:val="18"/>
              </w:rPr>
            </w:pPr>
          </w:p>
        </w:tc>
        <w:tc>
          <w:tcPr>
            <w:tcW w:w="1843" w:type="dxa"/>
            <w:vMerge w:val="restart"/>
          </w:tcPr>
          <w:p>
            <w:pPr>
              <w:pStyle w:val="37"/>
              <w:ind w:firstLine="0" w:firstLineChars="0"/>
              <w:jc w:val="left"/>
              <w:rPr>
                <w:rFonts w:ascii="宋体" w:hAnsi="宋体"/>
                <w:sz w:val="18"/>
                <w:szCs w:val="18"/>
              </w:rPr>
            </w:pPr>
            <w:r>
              <w:rPr>
                <w:rFonts w:hint="eastAsia" w:ascii="宋体" w:hAnsi="宋体"/>
                <w:sz w:val="18"/>
                <w:szCs w:val="18"/>
              </w:rPr>
              <w:t>企业网页</w:t>
            </w:r>
          </w:p>
          <w:p>
            <w:pPr>
              <w:pStyle w:val="37"/>
              <w:ind w:firstLine="0" w:firstLineChars="0"/>
              <w:jc w:val="left"/>
              <w:rPr>
                <w:rFonts w:ascii="宋体" w:hAnsi="宋体"/>
                <w:sz w:val="18"/>
                <w:szCs w:val="18"/>
              </w:rPr>
            </w:pPr>
            <w:r>
              <w:rPr>
                <w:rFonts w:hint="eastAsia" w:ascii="宋体" w:hAnsi="宋体"/>
                <w:sz w:val="18"/>
                <w:szCs w:val="18"/>
              </w:rPr>
              <w:t>TMS或调度应用系统</w:t>
            </w:r>
          </w:p>
          <w:p>
            <w:pPr>
              <w:pStyle w:val="37"/>
              <w:ind w:firstLine="0" w:firstLineChars="0"/>
              <w:jc w:val="left"/>
              <w:rPr>
                <w:rFonts w:ascii="宋体" w:hAnsi="宋体"/>
                <w:sz w:val="18"/>
                <w:szCs w:val="18"/>
              </w:rPr>
            </w:pPr>
            <w:r>
              <w:rPr>
                <w:rFonts w:hint="eastAsia" w:ascii="宋体" w:hAnsi="宋体"/>
                <w:sz w:val="18"/>
                <w:szCs w:val="18"/>
              </w:rPr>
              <w:t>车辆定位系统</w:t>
            </w:r>
          </w:p>
          <w:p>
            <w:pPr>
              <w:pStyle w:val="37"/>
              <w:ind w:firstLine="0" w:firstLineChars="0"/>
              <w:jc w:val="left"/>
              <w:rPr>
                <w:rFonts w:ascii="宋体" w:hAnsi="宋体"/>
                <w:sz w:val="18"/>
                <w:szCs w:val="18"/>
              </w:rPr>
            </w:pPr>
            <w:r>
              <w:rPr>
                <w:rFonts w:hint="eastAsia" w:ascii="宋体" w:hAnsi="宋体"/>
                <w:sz w:val="18"/>
                <w:szCs w:val="18"/>
              </w:rPr>
              <w:t>质量体系认证</w:t>
            </w: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80" w:type="dxa"/>
          </w:tcPr>
          <w:p>
            <w:pPr>
              <w:pStyle w:val="37"/>
              <w:ind w:firstLine="0" w:firstLineChars="0"/>
              <w:jc w:val="left"/>
              <w:rPr>
                <w:rFonts w:ascii="宋体" w:hAnsi="宋体"/>
                <w:sz w:val="18"/>
                <w:szCs w:val="18"/>
              </w:rPr>
            </w:pPr>
            <w:r>
              <w:rPr>
                <w:rFonts w:ascii="宋体" w:hAnsi="宋体"/>
                <w:sz w:val="18"/>
                <w:szCs w:val="18"/>
              </w:rPr>
              <w:t xml:space="preserve"> </w:t>
            </w: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0" w:firstLineChars="0"/>
              <w:jc w:val="left"/>
              <w:rPr>
                <w:rFonts w:ascii="宋体" w:hAnsi="宋体"/>
                <w:sz w:val="18"/>
                <w:szCs w:val="18"/>
              </w:rPr>
            </w:pP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vAlign w:val="center"/>
          </w:tcPr>
          <w:p>
            <w:pPr>
              <w:pStyle w:val="37"/>
              <w:ind w:firstLine="0" w:firstLineChars="0"/>
              <w:rPr>
                <w:rFonts w:ascii="宋体" w:hAnsi="宋体"/>
                <w:sz w:val="18"/>
                <w:szCs w:val="18"/>
              </w:rPr>
            </w:pPr>
          </w:p>
        </w:tc>
        <w:tc>
          <w:tcPr>
            <w:tcW w:w="1843" w:type="dxa"/>
            <w:vMerge w:val="continue"/>
          </w:tcPr>
          <w:p>
            <w:pPr>
              <w:pStyle w:val="37"/>
              <w:ind w:firstLine="360"/>
              <w:jc w:val="left"/>
              <w:rPr>
                <w:rFonts w:ascii="宋体" w:hAnsi="宋体"/>
                <w:sz w:val="18"/>
                <w:szCs w:val="18"/>
              </w:rPr>
            </w:pPr>
          </w:p>
        </w:tc>
        <w:tc>
          <w:tcPr>
            <w:tcW w:w="980" w:type="dxa"/>
          </w:tcPr>
          <w:p>
            <w:pPr>
              <w:pStyle w:val="37"/>
              <w:ind w:firstLine="0" w:firstLineChars="0"/>
              <w:jc w:val="left"/>
              <w:rPr>
                <w:rFonts w:ascii="宋体" w:hAnsi="宋体"/>
                <w:sz w:val="18"/>
                <w:szCs w:val="18"/>
              </w:rPr>
            </w:pPr>
          </w:p>
        </w:tc>
        <w:tc>
          <w:tcPr>
            <w:tcW w:w="675" w:type="dxa"/>
            <w:gridSpan w:val="2"/>
          </w:tcPr>
          <w:p>
            <w:pPr>
              <w:pStyle w:val="37"/>
              <w:ind w:firstLine="0" w:firstLineChars="0"/>
              <w:jc w:val="left"/>
              <w:rPr>
                <w:rFonts w:ascii="宋体" w:hAnsi="宋体"/>
                <w:sz w:val="18"/>
                <w:szCs w:val="18"/>
              </w:rPr>
            </w:pPr>
          </w:p>
        </w:tc>
        <w:tc>
          <w:tcPr>
            <w:tcW w:w="755"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710" w:type="dxa"/>
            <w:tcBorders>
              <w:top w:val="single" w:color="auto" w:sz="4" w:space="0"/>
              <w:left w:val="single" w:color="auto" w:sz="4" w:space="0"/>
              <w:right w:val="single" w:color="auto" w:sz="4" w:space="0"/>
            </w:tcBorders>
          </w:tcPr>
          <w:p>
            <w:pPr>
              <w:pStyle w:val="37"/>
              <w:ind w:firstLine="0" w:firstLineChars="0"/>
              <w:jc w:val="left"/>
              <w:rPr>
                <w:rFonts w:ascii="宋体" w:hAnsi="宋体"/>
                <w:sz w:val="18"/>
                <w:szCs w:val="18"/>
              </w:rPr>
            </w:pPr>
          </w:p>
        </w:tc>
        <w:tc>
          <w:tcPr>
            <w:tcW w:w="1751" w:type="dxa"/>
            <w:tcBorders>
              <w:top w:val="single" w:color="auto" w:sz="4" w:space="0"/>
              <w:left w:val="single" w:color="auto" w:sz="4" w:space="0"/>
            </w:tcBorders>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restart"/>
            <w:vAlign w:val="center"/>
          </w:tcPr>
          <w:p>
            <w:pPr>
              <w:pStyle w:val="37"/>
              <w:ind w:firstLine="0" w:firstLineChars="0"/>
              <w:rPr>
                <w:rFonts w:ascii="宋体" w:hAnsi="宋体"/>
                <w:sz w:val="18"/>
                <w:szCs w:val="18"/>
              </w:rPr>
            </w:pPr>
            <w:r>
              <w:rPr>
                <w:rFonts w:hint="eastAsia" w:ascii="宋体" w:hAnsi="宋体"/>
                <w:sz w:val="18"/>
                <w:szCs w:val="18"/>
              </w:rPr>
              <w:t>运输作业水准</w:t>
            </w:r>
          </w:p>
        </w:tc>
        <w:tc>
          <w:tcPr>
            <w:tcW w:w="1843" w:type="dxa"/>
          </w:tcPr>
          <w:p>
            <w:pPr>
              <w:pStyle w:val="37"/>
              <w:ind w:firstLine="0" w:firstLineChars="0"/>
              <w:jc w:val="left"/>
              <w:rPr>
                <w:rFonts w:ascii="宋体" w:hAnsi="宋体"/>
                <w:sz w:val="18"/>
                <w:szCs w:val="18"/>
              </w:rPr>
            </w:pPr>
            <w:r>
              <w:rPr>
                <w:rFonts w:hint="eastAsia" w:ascii="宋体" w:hAnsi="宋体"/>
                <w:sz w:val="18"/>
                <w:szCs w:val="18"/>
              </w:rPr>
              <w:t>运输险投保状况</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360"/>
              <w:jc w:val="center"/>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保险公司名称</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360"/>
              <w:jc w:val="center"/>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保险类型</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jc w:val="center"/>
              <w:rPr>
                <w:rFonts w:ascii="宋体" w:hAnsi="宋体"/>
                <w:sz w:val="18"/>
                <w:szCs w:val="18"/>
              </w:rPr>
            </w:pPr>
          </w:p>
        </w:tc>
        <w:tc>
          <w:tcPr>
            <w:tcW w:w="1843" w:type="dxa"/>
          </w:tcPr>
          <w:p>
            <w:pPr>
              <w:pStyle w:val="37"/>
              <w:ind w:firstLine="0" w:firstLineChars="0"/>
              <w:jc w:val="left"/>
              <w:rPr>
                <w:rFonts w:ascii="宋体" w:hAnsi="宋体"/>
                <w:sz w:val="18"/>
                <w:szCs w:val="18"/>
              </w:rPr>
            </w:pPr>
            <w:r>
              <w:rPr>
                <w:rFonts w:hint="eastAsia" w:ascii="宋体" w:hAnsi="宋体"/>
                <w:sz w:val="18"/>
                <w:szCs w:val="18"/>
              </w:rPr>
              <w:t>保险金额</w:t>
            </w: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restart"/>
            <w:vAlign w:val="center"/>
          </w:tcPr>
          <w:p>
            <w:pPr>
              <w:pStyle w:val="37"/>
              <w:ind w:firstLine="0" w:firstLineChars="0"/>
              <w:rPr>
                <w:rFonts w:ascii="宋体" w:hAnsi="宋体"/>
                <w:sz w:val="18"/>
                <w:szCs w:val="18"/>
              </w:rPr>
            </w:pPr>
            <w:r>
              <w:rPr>
                <w:rFonts w:hint="eastAsia" w:ascii="宋体" w:hAnsi="宋体"/>
                <w:sz w:val="18"/>
                <w:szCs w:val="18"/>
              </w:rPr>
              <w:t>系统状况</w:t>
            </w: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tcPr>
          <w:p>
            <w:pPr>
              <w:pStyle w:val="37"/>
              <w:ind w:firstLine="360"/>
              <w:jc w:val="center"/>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vAlign w:val="center"/>
          </w:tcPr>
          <w:p>
            <w:pPr>
              <w:pStyle w:val="37"/>
              <w:ind w:firstLine="0" w:firstLineChars="0"/>
              <w:jc w:val="center"/>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restart"/>
            <w:vAlign w:val="center"/>
          </w:tcPr>
          <w:p>
            <w:pPr>
              <w:pStyle w:val="37"/>
              <w:ind w:firstLine="0" w:firstLineChars="0"/>
              <w:jc w:val="center"/>
              <w:rPr>
                <w:rFonts w:ascii="宋体" w:hAnsi="宋体"/>
                <w:sz w:val="18"/>
                <w:szCs w:val="18"/>
              </w:rPr>
            </w:pPr>
            <w:r>
              <w:rPr>
                <w:rFonts w:hint="eastAsia" w:ascii="宋体" w:hAnsi="宋体"/>
                <w:sz w:val="18"/>
                <w:szCs w:val="18"/>
              </w:rPr>
              <w:t>质量认证与  风险管理</w:t>
            </w: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48" w:type="dxa"/>
            <w:vMerge w:val="continue"/>
          </w:tcPr>
          <w:p>
            <w:pPr>
              <w:pStyle w:val="37"/>
              <w:ind w:firstLine="0" w:firstLineChars="0"/>
              <w:jc w:val="left"/>
              <w:rPr>
                <w:rFonts w:ascii="宋体" w:hAnsi="宋体"/>
                <w:sz w:val="18"/>
                <w:szCs w:val="18"/>
              </w:rPr>
            </w:pPr>
          </w:p>
        </w:tc>
        <w:tc>
          <w:tcPr>
            <w:tcW w:w="1843" w:type="dxa"/>
          </w:tcPr>
          <w:p>
            <w:pPr>
              <w:pStyle w:val="37"/>
              <w:ind w:firstLine="0" w:firstLineChars="0"/>
              <w:jc w:val="left"/>
              <w:rPr>
                <w:rFonts w:ascii="宋体" w:hAnsi="宋体"/>
                <w:sz w:val="18"/>
                <w:szCs w:val="18"/>
              </w:rPr>
            </w:pPr>
          </w:p>
        </w:tc>
        <w:tc>
          <w:tcPr>
            <w:tcW w:w="4871" w:type="dxa"/>
            <w:gridSpan w:val="6"/>
          </w:tcPr>
          <w:p>
            <w:pPr>
              <w:pStyle w:val="37"/>
              <w:ind w:firstLine="0" w:firstLineChars="0"/>
              <w:jc w:val="left"/>
              <w:rPr>
                <w:rFonts w:ascii="宋体" w:hAnsi="宋体"/>
                <w:sz w:val="18"/>
                <w:szCs w:val="18"/>
              </w:rPr>
            </w:pPr>
          </w:p>
        </w:tc>
      </w:tr>
    </w:tbl>
    <w:p>
      <w:pPr>
        <w:spacing w:line="360" w:lineRule="auto"/>
        <w:jc w:val="left"/>
        <w:rPr>
          <w:b/>
          <w:sz w:val="24"/>
        </w:rPr>
      </w:pPr>
    </w:p>
    <w:p>
      <w:pPr>
        <w:spacing w:line="360" w:lineRule="auto"/>
        <w:rPr>
          <w:rFonts w:ascii="宋体" w:hAnsi="宋体"/>
          <w:b/>
          <w:sz w:val="24"/>
        </w:rPr>
      </w:pPr>
      <w:r>
        <w:rPr>
          <w:b/>
          <w:sz w:val="24"/>
        </w:rPr>
        <w:br w:type="page"/>
      </w:r>
      <w:r>
        <w:rPr>
          <w:rFonts w:hint="eastAsia" w:ascii="宋体" w:hAnsi="宋体"/>
          <w:b/>
          <w:sz w:val="24"/>
        </w:rPr>
        <w:t>运输招标</w:t>
      </w:r>
      <w:r>
        <w:rPr>
          <w:rFonts w:hint="eastAsia" w:ascii="宋体" w:hAnsi="宋体"/>
          <w:b/>
          <w:bCs/>
          <w:sz w:val="24"/>
        </w:rPr>
        <w:t>书附件4：</w:t>
      </w:r>
    </w:p>
    <w:p>
      <w:pPr>
        <w:spacing w:line="360" w:lineRule="auto"/>
        <w:jc w:val="center"/>
        <w:rPr>
          <w:rFonts w:ascii="宋体" w:hAnsi="宋体"/>
          <w:b/>
          <w:bCs/>
          <w:sz w:val="24"/>
        </w:rPr>
      </w:pPr>
      <w:r>
        <w:rPr>
          <w:rFonts w:hint="eastAsia" w:ascii="宋体" w:hAnsi="宋体"/>
          <w:b/>
          <w:bCs/>
          <w:sz w:val="24"/>
        </w:rPr>
        <w:t>各工厂产品目录与规格</w:t>
      </w:r>
    </w:p>
    <w:p>
      <w:pPr>
        <w:tabs>
          <w:tab w:val="left" w:pos="2790"/>
        </w:tabs>
        <w:spacing w:line="360" w:lineRule="auto"/>
        <w:rPr>
          <w:rFonts w:ascii="宋体" w:hAnsi="宋体"/>
          <w:sz w:val="24"/>
        </w:rPr>
      </w:pPr>
    </w:p>
    <w:p>
      <w:pPr>
        <w:tabs>
          <w:tab w:val="left" w:pos="2790"/>
        </w:tabs>
        <w:spacing w:line="360" w:lineRule="auto"/>
        <w:rPr>
          <w:rFonts w:ascii="宋体" w:hAnsi="宋体"/>
          <w:sz w:val="24"/>
        </w:rPr>
      </w:pPr>
      <w:r>
        <w:rPr>
          <w:rFonts w:hint="eastAsia" w:ascii="宋体" w:hAnsi="宋体"/>
          <w:sz w:val="24"/>
        </w:rPr>
        <w:t>见“运输招标书附表一：各工厂产品目录与规格”（Excel表格形式）</w:t>
      </w:r>
    </w:p>
    <w:p>
      <w:pPr>
        <w:spacing w:line="360" w:lineRule="auto"/>
        <w:rPr>
          <w:sz w:val="24"/>
        </w:rPr>
      </w:pPr>
      <w:r>
        <w:rPr>
          <w:sz w:val="24"/>
        </w:rPr>
        <w:br w:type="page"/>
      </w:r>
      <w:r>
        <w:rPr>
          <w:rFonts w:hint="eastAsia" w:ascii="宋体" w:hAnsi="宋体"/>
          <w:b/>
          <w:sz w:val="24"/>
        </w:rPr>
        <w:t>运输招标</w:t>
      </w:r>
      <w:r>
        <w:rPr>
          <w:rFonts w:hint="eastAsia" w:ascii="宋体" w:hAnsi="宋体"/>
          <w:b/>
          <w:bCs/>
          <w:sz w:val="24"/>
        </w:rPr>
        <w:t>书附件5：</w:t>
      </w:r>
    </w:p>
    <w:p>
      <w:pPr>
        <w:spacing w:line="360" w:lineRule="auto"/>
        <w:jc w:val="center"/>
        <w:rPr>
          <w:rFonts w:ascii="宋体" w:hAnsi="宋体"/>
          <w:b/>
          <w:bCs/>
          <w:sz w:val="24"/>
        </w:rPr>
      </w:pPr>
      <w:r>
        <w:rPr>
          <w:rFonts w:hint="eastAsia" w:ascii="宋体" w:hAnsi="宋体"/>
          <w:b/>
          <w:bCs/>
          <w:sz w:val="24"/>
        </w:rPr>
        <w:t>产品运输规范与说明</w:t>
      </w:r>
    </w:p>
    <w:p>
      <w:pPr>
        <w:spacing w:line="360" w:lineRule="auto"/>
        <w:jc w:val="center"/>
        <w:rPr>
          <w:rFonts w:ascii="宋体" w:hAnsi="宋体"/>
          <w:b/>
          <w:bCs/>
          <w:sz w:val="24"/>
        </w:rPr>
      </w:pPr>
    </w:p>
    <w:p>
      <w:pPr>
        <w:tabs>
          <w:tab w:val="left" w:pos="900"/>
        </w:tabs>
        <w:adjustRightInd w:val="0"/>
        <w:snapToGrid w:val="0"/>
        <w:spacing w:line="360" w:lineRule="auto"/>
        <w:ind w:firstLine="480" w:firstLineChars="200"/>
        <w:rPr>
          <w:rFonts w:ascii="宋体" w:hAnsi="宋体"/>
          <w:sz w:val="24"/>
        </w:rPr>
      </w:pPr>
      <w:r>
        <w:rPr>
          <w:rFonts w:hint="eastAsia" w:ascii="宋体" w:hAnsi="宋体"/>
          <w:sz w:val="24"/>
        </w:rPr>
        <w:t>为加强公司产品在运输过程中的管理，</w:t>
      </w:r>
      <w:r>
        <w:rPr>
          <w:rFonts w:ascii="宋体" w:hAnsi="宋体"/>
          <w:sz w:val="24"/>
        </w:rPr>
        <w:t>保证</w:t>
      </w:r>
      <w:r>
        <w:rPr>
          <w:rFonts w:hint="eastAsia" w:ascii="宋体" w:hAnsi="宋体"/>
          <w:sz w:val="24"/>
        </w:rPr>
        <w:t>产品质量</w:t>
      </w:r>
      <w:r>
        <w:rPr>
          <w:rFonts w:ascii="宋体" w:hAnsi="宋体"/>
          <w:sz w:val="24"/>
        </w:rPr>
        <w:t>安全，更好地为公司经营</w:t>
      </w:r>
      <w:r>
        <w:rPr>
          <w:rFonts w:hint="eastAsia" w:ascii="宋体" w:hAnsi="宋体"/>
          <w:sz w:val="24"/>
        </w:rPr>
        <w:t>销售</w:t>
      </w:r>
      <w:r>
        <w:rPr>
          <w:rFonts w:ascii="宋体" w:hAnsi="宋体"/>
          <w:sz w:val="24"/>
        </w:rPr>
        <w:t>管理服务，</w:t>
      </w:r>
      <w:r>
        <w:rPr>
          <w:rFonts w:hint="eastAsia" w:ascii="宋体" w:hAnsi="宋体"/>
          <w:sz w:val="24"/>
        </w:rPr>
        <w:t>特制定本规范。</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运输车辆要手续齐全，并保持良好的车况；</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运输车辆必须定期冲洗、消毒，保持车体内外干净、卫生；</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运输车辆确保无影响食品质量的不良气味；</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运输车辆在运送产品时，不能与化学品和有毒、有害、有污染、有刺激性气味的物资混载；</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运输车辆不能有鼠类、虫类痕迹及微生物污染的现象；</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装卸及运输过程中，任何人严禁脚踏或坐成品箱，同时严禁用其它物品重压；</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运输过程中，要保证防尘、防雨、防晒，确保食品无污染抵达；</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cs="宋体-WinCharSetFFFF-H"/>
          <w:kern w:val="0"/>
          <w:sz w:val="24"/>
        </w:rPr>
        <w:t>在运输时，应考虑相应安全保护措施，确保包装的完整性；</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sz w:val="24"/>
        </w:rPr>
        <w:t>食用油产品，运输过程中，产品严防日光直射；食用油运输码</w:t>
      </w:r>
      <w:r>
        <w:rPr>
          <w:rFonts w:ascii="宋体" w:hAnsi="宋体"/>
          <w:sz w:val="24"/>
        </w:rPr>
        <w:t>放的原则</w:t>
      </w:r>
      <w:r>
        <w:rPr>
          <w:rFonts w:hint="eastAsia" w:ascii="宋体" w:hAnsi="宋体"/>
          <w:sz w:val="24"/>
        </w:rPr>
        <w:t>：5L规格不超过6层，其余小规格不超过7层；</w:t>
      </w:r>
    </w:p>
    <w:p>
      <w:pPr>
        <w:numPr>
          <w:ilvl w:val="0"/>
          <w:numId w:val="1"/>
        </w:numPr>
        <w:tabs>
          <w:tab w:val="left" w:pos="900"/>
        </w:tabs>
        <w:adjustRightInd w:val="0"/>
        <w:snapToGrid w:val="0"/>
        <w:spacing w:line="360" w:lineRule="auto"/>
        <w:ind w:firstLine="480" w:firstLineChars="200"/>
        <w:rPr>
          <w:rFonts w:ascii="宋体" w:hAnsi="宋体"/>
          <w:sz w:val="24"/>
        </w:rPr>
      </w:pPr>
      <w:r>
        <w:rPr>
          <w:rFonts w:hint="eastAsia" w:ascii="宋体" w:hAnsi="宋体"/>
          <w:sz w:val="24"/>
        </w:rPr>
        <w:t>关于运输过程中灭失及破损的赔付，在运输过程中发生丢失、破损，均由乙方按经销价全额赔偿；纸箱破损的货物，应立即更换包装。</w:t>
      </w: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p>
    <w:p>
      <w:pPr>
        <w:tabs>
          <w:tab w:val="left" w:pos="900"/>
        </w:tabs>
        <w:adjustRightInd w:val="0"/>
        <w:snapToGrid w:val="0"/>
        <w:spacing w:line="360" w:lineRule="auto"/>
        <w:rPr>
          <w:rFonts w:ascii="宋体" w:hAnsi="宋体"/>
          <w:sz w:val="24"/>
        </w:rPr>
      </w:pPr>
      <w:r>
        <w:rPr>
          <w:rFonts w:hint="eastAsia" w:ascii="宋体" w:hAnsi="宋体"/>
          <w:b/>
          <w:sz w:val="24"/>
        </w:rPr>
        <w:t>运输招标</w:t>
      </w:r>
      <w:r>
        <w:rPr>
          <w:rFonts w:hint="eastAsia" w:ascii="宋体" w:hAnsi="宋体"/>
          <w:b/>
          <w:bCs/>
          <w:sz w:val="24"/>
        </w:rPr>
        <w:t>书附件6：</w:t>
      </w:r>
    </w:p>
    <w:p>
      <w:pPr>
        <w:spacing w:line="360" w:lineRule="auto"/>
        <w:jc w:val="center"/>
        <w:rPr>
          <w:rFonts w:ascii="宋体" w:hAnsi="宋体"/>
          <w:b/>
          <w:bCs/>
          <w:sz w:val="24"/>
        </w:rPr>
      </w:pPr>
      <w:r>
        <w:rPr>
          <w:rFonts w:hint="eastAsia" w:ascii="宋体" w:hAnsi="宋体"/>
          <w:b/>
          <w:bCs/>
          <w:sz w:val="24"/>
        </w:rPr>
        <w:t>干线运输线路、参考运输量及报价书</w:t>
      </w:r>
    </w:p>
    <w:p>
      <w:pPr>
        <w:spacing w:line="360" w:lineRule="auto"/>
        <w:jc w:val="center"/>
        <w:rPr>
          <w:rFonts w:ascii="宋体" w:hAnsi="宋体"/>
          <w:b/>
          <w:bCs/>
          <w:sz w:val="24"/>
        </w:rPr>
      </w:pPr>
    </w:p>
    <w:p>
      <w:pPr>
        <w:spacing w:line="360" w:lineRule="auto"/>
        <w:jc w:val="center"/>
        <w:rPr>
          <w:rFonts w:ascii="宋体" w:hAnsi="宋体"/>
          <w:bCs/>
          <w:sz w:val="24"/>
        </w:rPr>
      </w:pPr>
      <w:r>
        <w:rPr>
          <w:rFonts w:hint="eastAsia" w:ascii="宋体" w:hAnsi="宋体"/>
          <w:bCs/>
          <w:sz w:val="24"/>
        </w:rPr>
        <w:t>见“</w:t>
      </w:r>
      <w:r>
        <w:rPr>
          <w:rFonts w:hint="eastAsia" w:ascii="宋体" w:hAnsi="宋体"/>
          <w:sz w:val="24"/>
        </w:rPr>
        <w:t>运输招标</w:t>
      </w:r>
      <w:r>
        <w:rPr>
          <w:rFonts w:hint="eastAsia"/>
          <w:sz w:val="24"/>
        </w:rPr>
        <w:t>书</w:t>
      </w:r>
      <w:r>
        <w:rPr>
          <w:rFonts w:hint="eastAsia" w:ascii="宋体" w:hAnsi="宋体"/>
          <w:bCs/>
          <w:sz w:val="24"/>
        </w:rPr>
        <w:t>附表二：干线运输线路、参考运输量及报价书”（Excel表格形式）</w:t>
      </w:r>
    </w:p>
    <w:p>
      <w:pPr>
        <w:tabs>
          <w:tab w:val="left" w:pos="900"/>
        </w:tabs>
        <w:adjustRightInd w:val="0"/>
        <w:snapToGrid w:val="0"/>
        <w:spacing w:line="360" w:lineRule="auto"/>
        <w:rPr>
          <w:rFonts w:ascii="宋体" w:hAnsi="宋体"/>
          <w:bCs/>
          <w:sz w:val="24"/>
        </w:rPr>
      </w:pPr>
    </w:p>
    <w:p>
      <w:pPr>
        <w:tabs>
          <w:tab w:val="left" w:pos="900"/>
        </w:tabs>
        <w:adjustRightInd w:val="0"/>
        <w:snapToGrid w:val="0"/>
        <w:spacing w:line="360" w:lineRule="auto"/>
        <w:rPr>
          <w:rFonts w:ascii="宋体" w:hAnsi="宋体"/>
          <w:b/>
          <w:bCs/>
          <w:sz w:val="24"/>
        </w:rPr>
      </w:pPr>
    </w:p>
    <w:p>
      <w:pPr>
        <w:tabs>
          <w:tab w:val="left" w:pos="900"/>
        </w:tabs>
        <w:adjustRightInd w:val="0"/>
        <w:snapToGrid w:val="0"/>
        <w:spacing w:line="360" w:lineRule="auto"/>
        <w:rPr>
          <w:rFonts w:ascii="宋体" w:hAnsi="宋体"/>
          <w:b/>
          <w:bCs/>
          <w:sz w:val="24"/>
        </w:rPr>
      </w:pPr>
    </w:p>
    <w:p>
      <w:pPr>
        <w:tabs>
          <w:tab w:val="left" w:pos="900"/>
        </w:tabs>
        <w:adjustRightInd w:val="0"/>
        <w:snapToGrid w:val="0"/>
        <w:spacing w:line="360" w:lineRule="auto"/>
        <w:rPr>
          <w:rFonts w:ascii="宋体" w:hAnsi="宋体"/>
          <w:b/>
          <w:bCs/>
          <w:sz w:val="24"/>
        </w:rPr>
      </w:pPr>
      <w:r>
        <w:rPr>
          <w:rFonts w:hint="eastAsia" w:ascii="宋体" w:hAnsi="宋体"/>
          <w:b/>
          <w:sz w:val="24"/>
        </w:rPr>
        <w:t>运输招标</w:t>
      </w:r>
      <w:r>
        <w:rPr>
          <w:rFonts w:hint="eastAsia" w:ascii="宋体" w:hAnsi="宋体"/>
          <w:b/>
          <w:bCs/>
          <w:sz w:val="24"/>
        </w:rPr>
        <w:t>书附件7：</w:t>
      </w:r>
    </w:p>
    <w:p>
      <w:pPr>
        <w:spacing w:line="360" w:lineRule="auto"/>
        <w:ind w:firstLine="482" w:firstLineChars="200"/>
        <w:jc w:val="center"/>
        <w:rPr>
          <w:rFonts w:ascii="宋体" w:hAnsi="宋体"/>
          <w:b/>
          <w:sz w:val="24"/>
        </w:rPr>
      </w:pPr>
      <w:r>
        <w:rPr>
          <w:rFonts w:hint="eastAsia" w:ascii="宋体" w:hAnsi="宋体"/>
          <w:b/>
          <w:sz w:val="24"/>
        </w:rPr>
        <w:t>保密协议（见下页）</w:t>
      </w:r>
    </w:p>
    <w:p>
      <w:pPr>
        <w:tabs>
          <w:tab w:val="left" w:pos="2790"/>
        </w:tabs>
        <w:spacing w:line="360" w:lineRule="auto"/>
        <w:ind w:firstLine="480" w:firstLineChars="200"/>
        <w:jc w:val="center"/>
        <w:rPr>
          <w:rFonts w:ascii="宋体" w:hAnsi="宋体"/>
          <w:sz w:val="24"/>
        </w:rPr>
      </w:pPr>
      <w:r>
        <w:rPr>
          <w:rFonts w:ascii="宋体" w:hAnsi="宋体"/>
          <w:sz w:val="24"/>
        </w:rPr>
        <w:br w:type="page"/>
      </w:r>
    </w:p>
    <w:p>
      <w:pPr>
        <w:tabs>
          <w:tab w:val="left" w:pos="2790"/>
        </w:tabs>
        <w:spacing w:line="360" w:lineRule="auto"/>
        <w:ind w:firstLine="482" w:firstLineChars="200"/>
        <w:jc w:val="left"/>
        <w:rPr>
          <w:rFonts w:ascii="宋体" w:hAnsi="宋体"/>
          <w:b/>
          <w:bCs/>
          <w:sz w:val="24"/>
        </w:rPr>
      </w:pPr>
      <w:r>
        <w:rPr>
          <w:rFonts w:hint="eastAsia" w:ascii="宋体" w:hAnsi="宋体"/>
          <w:b/>
          <w:bCs/>
          <w:sz w:val="24"/>
        </w:rPr>
        <w:t>运输招标书附件7：</w:t>
      </w:r>
    </w:p>
    <w:p>
      <w:pPr>
        <w:tabs>
          <w:tab w:val="left" w:pos="2790"/>
        </w:tabs>
        <w:spacing w:line="360" w:lineRule="auto"/>
        <w:ind w:firstLine="643" w:firstLineChars="200"/>
        <w:jc w:val="center"/>
        <w:rPr>
          <w:b/>
          <w:sz w:val="32"/>
          <w:szCs w:val="32"/>
        </w:rPr>
      </w:pPr>
      <w:r>
        <w:rPr>
          <w:rFonts w:hint="eastAsia"/>
          <w:b/>
          <w:sz w:val="32"/>
          <w:szCs w:val="32"/>
        </w:rPr>
        <w:t>保密协议</w:t>
      </w:r>
    </w:p>
    <w:p>
      <w:pPr>
        <w:pStyle w:val="10"/>
        <w:rPr>
          <w:b/>
        </w:rPr>
      </w:pPr>
      <w:r>
        <w:rPr>
          <w:rFonts w:hint="eastAsia"/>
          <w:b/>
        </w:rPr>
        <w:t>甲方：</w:t>
      </w:r>
    </w:p>
    <w:p>
      <w:pPr>
        <w:pStyle w:val="10"/>
        <w:ind w:left="120" w:hanging="120" w:hangingChars="50"/>
      </w:pPr>
      <w:r>
        <w:rPr>
          <w:rFonts w:hint="eastAsia"/>
        </w:rPr>
        <w:t>安徽丰原医药营销有限公司</w:t>
      </w:r>
    </w:p>
    <w:p>
      <w:pPr>
        <w:pStyle w:val="10"/>
      </w:pPr>
    </w:p>
    <w:p>
      <w:pPr>
        <w:pStyle w:val="10"/>
        <w:rPr>
          <w:b/>
        </w:rPr>
      </w:pPr>
      <w:r>
        <w:rPr>
          <w:rFonts w:hint="eastAsia"/>
          <w:b/>
        </w:rPr>
        <w:t>乙方：</w:t>
      </w:r>
    </w:p>
    <w:p>
      <w:pPr>
        <w:pStyle w:val="10"/>
        <w:ind w:left="120" w:hanging="120" w:hangingChars="50"/>
      </w:pPr>
    </w:p>
    <w:p>
      <w:pPr>
        <w:pStyle w:val="10"/>
        <w:ind w:left="120" w:hanging="120" w:hangingChars="50"/>
      </w:pPr>
    </w:p>
    <w:p>
      <w:pPr>
        <w:pStyle w:val="10"/>
        <w:rPr>
          <w:b/>
          <w:bCs w:val="0"/>
        </w:rPr>
      </w:pPr>
      <w:r>
        <w:rPr>
          <w:rFonts w:hint="eastAsia"/>
          <w:b/>
          <w:bCs w:val="0"/>
        </w:rPr>
        <w:t>鉴于：</w:t>
      </w:r>
    </w:p>
    <w:p>
      <w:pPr>
        <w:pStyle w:val="41"/>
        <w:numPr>
          <w:ilvl w:val="0"/>
          <w:numId w:val="2"/>
        </w:numPr>
        <w:spacing w:after="0" w:line="360" w:lineRule="auto"/>
        <w:jc w:val="both"/>
        <w:rPr>
          <w:lang w:eastAsia="zh-CN"/>
        </w:rPr>
      </w:pPr>
      <w:r>
        <w:rPr>
          <w:rFonts w:hint="eastAsia"/>
          <w:lang w:eastAsia="zh-CN"/>
        </w:rPr>
        <w:t>双方已经达成协议，就《安徽丰原医药营销有限公司物流项目</w:t>
      </w:r>
      <w:r>
        <w:rPr>
          <w:rFonts w:hint="eastAsia"/>
          <w:szCs w:val="21"/>
          <w:lang w:eastAsia="zh-CN"/>
        </w:rPr>
        <w:t>运输招标</w:t>
      </w:r>
      <w:r>
        <w:rPr>
          <w:rFonts w:hint="eastAsia"/>
          <w:lang w:eastAsia="zh-CN"/>
        </w:rPr>
        <w:t>书》（以下简称“项目”）进行合作，为此目的，拟进行进一步磋商，以订立有法律约束力的正式协议；</w:t>
      </w:r>
    </w:p>
    <w:p>
      <w:pPr>
        <w:pStyle w:val="41"/>
        <w:numPr>
          <w:ilvl w:val="0"/>
          <w:numId w:val="2"/>
        </w:numPr>
        <w:spacing w:after="0" w:line="360" w:lineRule="auto"/>
        <w:jc w:val="both"/>
        <w:rPr>
          <w:lang w:eastAsia="zh-CN"/>
        </w:rPr>
      </w:pPr>
      <w:r>
        <w:rPr>
          <w:rFonts w:hint="eastAsia"/>
          <w:lang w:eastAsia="zh-CN"/>
        </w:rPr>
        <w:t>甲方拥有与项目有关并对甲方具有商业价值的某些保密信息，且甲方一直采取一切必要的措施，以保护该等信息并防止任何人对该等信息做出任何未经授权的披露；</w:t>
      </w:r>
    </w:p>
    <w:p>
      <w:pPr>
        <w:pStyle w:val="41"/>
        <w:numPr>
          <w:ilvl w:val="0"/>
          <w:numId w:val="2"/>
        </w:numPr>
        <w:spacing w:after="0" w:line="360" w:lineRule="auto"/>
        <w:jc w:val="both"/>
        <w:rPr>
          <w:lang w:eastAsia="zh-CN"/>
        </w:rPr>
      </w:pPr>
      <w:r>
        <w:rPr>
          <w:rFonts w:hint="eastAsia"/>
          <w:lang w:eastAsia="zh-CN"/>
        </w:rPr>
        <w:t xml:space="preserve">乙方在就上述协议进行磋商的过程中或在项目合作的过程中均有可能获悉甲方的保密信息； </w:t>
      </w:r>
    </w:p>
    <w:p>
      <w:pPr>
        <w:pStyle w:val="41"/>
        <w:numPr>
          <w:ilvl w:val="0"/>
          <w:numId w:val="2"/>
        </w:numPr>
        <w:spacing w:after="0" w:line="360" w:lineRule="auto"/>
        <w:jc w:val="both"/>
        <w:rPr>
          <w:lang w:eastAsia="zh-CN"/>
        </w:rPr>
      </w:pPr>
      <w:r>
        <w:rPr>
          <w:rFonts w:hint="eastAsia"/>
          <w:lang w:eastAsia="zh-CN"/>
        </w:rPr>
        <w:t>乙方同意与该等保密信息有关的以下条款。</w:t>
      </w:r>
    </w:p>
    <w:p>
      <w:pPr>
        <w:pStyle w:val="41"/>
        <w:spacing w:after="0" w:line="360" w:lineRule="auto"/>
        <w:ind w:left="499"/>
        <w:jc w:val="both"/>
        <w:rPr>
          <w:lang w:eastAsia="zh-CN"/>
        </w:rPr>
      </w:pPr>
    </w:p>
    <w:p>
      <w:pPr>
        <w:pStyle w:val="10"/>
      </w:pPr>
      <w:r>
        <w:rPr>
          <w:rFonts w:hint="eastAsia"/>
        </w:rPr>
        <w:t>经双方平等协商和在公平、平等的原则基础上，双方约定如下：</w:t>
      </w:r>
    </w:p>
    <w:p>
      <w:pPr>
        <w:pStyle w:val="10"/>
      </w:pPr>
    </w:p>
    <w:p>
      <w:pPr>
        <w:pStyle w:val="10"/>
        <w:rPr>
          <w:b/>
          <w:bCs w:val="0"/>
        </w:rPr>
      </w:pPr>
      <w:bookmarkStart w:id="4" w:name="_Toc22482220"/>
      <w:r>
        <w:rPr>
          <w:rFonts w:hint="eastAsia"/>
          <w:b/>
          <w:bCs w:val="0"/>
        </w:rPr>
        <w:t>第一条 保密信息的范围</w:t>
      </w:r>
      <w:bookmarkEnd w:id="4"/>
    </w:p>
    <w:p>
      <w:pPr>
        <w:pStyle w:val="10"/>
        <w:ind w:firstLine="480" w:firstLineChars="200"/>
      </w:pPr>
      <w:r>
        <w:rPr>
          <w:rFonts w:hint="eastAsia"/>
        </w:rPr>
        <w:t>1、“保密信息”是指甲方拥有、占有或控制、对甲方具有商业价值或者效用的与项目有关的任何信息，包含计算机磁盘、光盘读取器、光盘、硬盘或软件中以数字方式存储、保护或记录的信息及纸张或任何其他载体上记录的信息。该等信息可能包括(但不限于)：</w:t>
      </w:r>
    </w:p>
    <w:p>
      <w:pPr>
        <w:pStyle w:val="10"/>
        <w:ind w:firstLine="480" w:firstLineChars="200"/>
      </w:pPr>
      <w:r>
        <w:rPr>
          <w:rFonts w:hint="eastAsia"/>
        </w:rPr>
        <w:t>（1）与甲方的业务、事务、客户、顾客或供应商有关的资料；</w:t>
      </w:r>
    </w:p>
    <w:p>
      <w:pPr>
        <w:pStyle w:val="10"/>
        <w:ind w:firstLine="480" w:firstLineChars="200"/>
      </w:pPr>
      <w:r>
        <w:rPr>
          <w:rFonts w:hint="eastAsia"/>
        </w:rPr>
        <w:t>（2）甲方的客户或顾客提供的或与该客户或顾客有关的信息，并且其对该等信息负有明示或暗示的保密义务；</w:t>
      </w:r>
    </w:p>
    <w:p>
      <w:pPr>
        <w:pStyle w:val="10"/>
        <w:ind w:firstLine="480" w:firstLineChars="200"/>
      </w:pPr>
      <w:r>
        <w:rPr>
          <w:rFonts w:hint="eastAsia"/>
        </w:rPr>
        <w:t>（3）甲方之雇员的薪酬及福利、该等雇员的职务或其它个人资料。</w:t>
      </w:r>
    </w:p>
    <w:p>
      <w:pPr>
        <w:pStyle w:val="10"/>
      </w:pPr>
      <w:r>
        <w:rPr>
          <w:rFonts w:hint="eastAsia"/>
        </w:rPr>
        <w:t>就本协议而言，“甲方”包括其分支机构、子公司、关联公司、代理人、董事及雇员。</w:t>
      </w:r>
    </w:p>
    <w:p>
      <w:pPr>
        <w:pStyle w:val="3"/>
        <w:keepNext w:val="0"/>
        <w:keepLines w:val="0"/>
        <w:widowControl/>
        <w:numPr>
          <w:ilvl w:val="1"/>
          <w:numId w:val="0"/>
        </w:numPr>
        <w:tabs>
          <w:tab w:val="left" w:pos="862"/>
        </w:tabs>
        <w:autoSpaceDE w:val="0"/>
        <w:autoSpaceDN w:val="0"/>
        <w:spacing w:before="0" w:after="0" w:line="360" w:lineRule="auto"/>
        <w:ind w:left="862" w:hanging="363"/>
        <w:rPr>
          <w:rFonts w:ascii="Times New Roman" w:hAnsi="Times New Roman"/>
          <w:b w:val="0"/>
          <w:sz w:val="24"/>
          <w:szCs w:val="24"/>
        </w:rPr>
      </w:pPr>
      <w:r>
        <w:rPr>
          <w:rFonts w:hint="eastAsia" w:ascii="Times New Roman" w:hAnsi="Times New Roman"/>
          <w:b w:val="0"/>
          <w:sz w:val="24"/>
          <w:szCs w:val="24"/>
        </w:rPr>
        <w:t>2、保密信息不包括以下信息：</w:t>
      </w:r>
    </w:p>
    <w:p>
      <w:pPr>
        <w:pStyle w:val="5"/>
        <w:keepNext w:val="0"/>
        <w:keepLines w:val="0"/>
        <w:widowControl/>
        <w:autoSpaceDE w:val="0"/>
        <w:autoSpaceDN w:val="0"/>
        <w:spacing w:before="0" w:after="0" w:line="360" w:lineRule="auto"/>
        <w:ind w:firstLine="420"/>
        <w:rPr>
          <w:rFonts w:ascii="Times New Roman" w:hAnsi="Times New Roman"/>
          <w:b w:val="0"/>
          <w:sz w:val="24"/>
          <w:szCs w:val="24"/>
        </w:rPr>
      </w:pPr>
      <w:r>
        <w:rPr>
          <w:rFonts w:hint="eastAsia" w:ascii="Times New Roman" w:hAnsi="Times New Roman"/>
          <w:b w:val="0"/>
          <w:sz w:val="24"/>
          <w:szCs w:val="24"/>
        </w:rPr>
        <w:t>（1）乙方已经独立及未曾违反任何法律、法规或甲方的任何权利开发的信息，并且该等信息是在乙方依照本协议条款从甲方获悉该等信息之前独立开发的；</w:t>
      </w:r>
    </w:p>
    <w:p>
      <w:pPr>
        <w:pStyle w:val="5"/>
        <w:keepNext w:val="0"/>
        <w:keepLines w:val="0"/>
        <w:widowControl/>
        <w:autoSpaceDE w:val="0"/>
        <w:autoSpaceDN w:val="0"/>
        <w:spacing w:before="0" w:after="0" w:line="360" w:lineRule="auto"/>
        <w:ind w:firstLine="420"/>
        <w:rPr>
          <w:rFonts w:ascii="Times New Roman" w:hAnsi="Times New Roman"/>
          <w:b w:val="0"/>
          <w:sz w:val="24"/>
          <w:szCs w:val="24"/>
        </w:rPr>
      </w:pPr>
      <w:r>
        <w:rPr>
          <w:rFonts w:hint="eastAsia" w:ascii="Times New Roman" w:hAnsi="Times New Roman"/>
          <w:b w:val="0"/>
          <w:sz w:val="24"/>
          <w:szCs w:val="24"/>
        </w:rPr>
        <w:t>（2）乙方在依照本协议条款从甲方获悉之前已经占有的信息，并且就乙方所知乙方并不需要对该等信息承担任何具有约束力的保密义务；</w:t>
      </w:r>
    </w:p>
    <w:p>
      <w:pPr>
        <w:pStyle w:val="5"/>
        <w:keepNext w:val="0"/>
        <w:keepLines w:val="0"/>
        <w:widowControl/>
        <w:autoSpaceDE w:val="0"/>
        <w:autoSpaceDN w:val="0"/>
        <w:spacing w:before="0" w:after="0" w:line="360" w:lineRule="auto"/>
        <w:ind w:firstLine="420"/>
        <w:rPr>
          <w:rFonts w:ascii="Times New Roman" w:hAnsi="Times New Roman"/>
          <w:b w:val="0"/>
          <w:sz w:val="24"/>
          <w:szCs w:val="24"/>
        </w:rPr>
      </w:pPr>
      <w:r>
        <w:rPr>
          <w:rFonts w:hint="eastAsia" w:ascii="Times New Roman" w:hAnsi="Times New Roman"/>
          <w:b w:val="0"/>
          <w:sz w:val="24"/>
          <w:szCs w:val="24"/>
        </w:rPr>
        <w:t>（3）在双方签订本协议以后并非由于乙方的过错而被公众所知的信息；</w:t>
      </w:r>
    </w:p>
    <w:p>
      <w:pPr>
        <w:pStyle w:val="5"/>
        <w:keepNext w:val="0"/>
        <w:keepLines w:val="0"/>
        <w:widowControl/>
        <w:autoSpaceDE w:val="0"/>
        <w:autoSpaceDN w:val="0"/>
        <w:spacing w:before="0" w:after="0" w:line="360" w:lineRule="auto"/>
        <w:ind w:firstLine="420"/>
        <w:rPr>
          <w:rFonts w:ascii="Times New Roman" w:hAnsi="Times New Roman"/>
          <w:b w:val="0"/>
          <w:sz w:val="24"/>
          <w:szCs w:val="24"/>
        </w:rPr>
      </w:pPr>
      <w:r>
        <w:rPr>
          <w:rFonts w:hint="eastAsia" w:ascii="Times New Roman" w:hAnsi="Times New Roman"/>
          <w:b w:val="0"/>
          <w:sz w:val="24"/>
          <w:szCs w:val="24"/>
        </w:rPr>
        <w:t>（4）乙方在未违反其对甲方承担的任何义务的情况下从第三方获得的信息。</w:t>
      </w:r>
    </w:p>
    <w:p/>
    <w:p>
      <w:pPr>
        <w:pStyle w:val="10"/>
        <w:rPr>
          <w:b/>
          <w:bCs w:val="0"/>
        </w:rPr>
      </w:pPr>
      <w:bookmarkStart w:id="5" w:name="_Toc22482221"/>
      <w:r>
        <w:rPr>
          <w:rFonts w:hint="eastAsia"/>
          <w:b/>
          <w:bCs w:val="0"/>
        </w:rPr>
        <w:t>第二条 保密信息的使用</w:t>
      </w:r>
      <w:bookmarkEnd w:id="5"/>
    </w:p>
    <w:p>
      <w:pPr>
        <w:pStyle w:val="10"/>
        <w:ind w:firstLine="480" w:firstLineChars="200"/>
      </w:pPr>
      <w:r>
        <w:rPr>
          <w:rFonts w:hint="eastAsia"/>
        </w:rPr>
        <w:t>乙方应使所有保密信息得到最严格的保密，并且除</w:t>
      </w:r>
      <w:r>
        <w:t>(i)</w:t>
      </w:r>
      <w:r>
        <w:rPr>
          <w:rFonts w:hint="eastAsia"/>
        </w:rPr>
        <w:t>为项目进展，或</w:t>
      </w:r>
      <w:r>
        <w:t>(ii)</w:t>
      </w:r>
      <w:r>
        <w:rPr>
          <w:rFonts w:hint="eastAsia"/>
        </w:rPr>
        <w:t>本协议允许的用途外，不得使用该等保密信息。</w:t>
      </w:r>
    </w:p>
    <w:p>
      <w:pPr>
        <w:pStyle w:val="10"/>
        <w:ind w:firstLine="480" w:firstLineChars="200"/>
      </w:pPr>
      <w:r>
        <w:rPr>
          <w:rFonts w:hint="eastAsia"/>
        </w:rPr>
        <w:t>在履行上述义务时，乙方均应采取与保护其自身保密信息所用措施同样严格的措施，并责成其每一位有可能得到保密信息的董事、雇员或代理人遵守本协议的条款。</w:t>
      </w:r>
    </w:p>
    <w:p>
      <w:pPr>
        <w:pStyle w:val="10"/>
        <w:ind w:firstLine="480" w:firstLineChars="200"/>
      </w:pPr>
      <w:r>
        <w:rPr>
          <w:rFonts w:hint="eastAsia"/>
        </w:rPr>
        <w:t>除非事先取得甲方的书面同意，否则乙方不得复制、出版或向第三方披露任何保密信息。</w:t>
      </w:r>
    </w:p>
    <w:p>
      <w:pPr>
        <w:pStyle w:val="10"/>
        <w:ind w:firstLine="480" w:firstLineChars="200"/>
      </w:pPr>
      <w:r>
        <w:rPr>
          <w:rFonts w:hint="eastAsia"/>
        </w:rPr>
        <w:t>如果政府主管部门根据其职能要求乙方披露保密信息，乙方应事先通知甲方，使甲方能够查验需要披露的保密信息。</w:t>
      </w:r>
    </w:p>
    <w:p>
      <w:pPr>
        <w:pStyle w:val="10"/>
        <w:ind w:firstLine="480" w:firstLineChars="200"/>
      </w:pPr>
      <w:r>
        <w:rPr>
          <w:rFonts w:hint="eastAsia"/>
        </w:rPr>
        <w:t>本协议在项目进行中、项目终止后的任何时间内仍完全有效，直至保密信息非因乙方原因进入公共领域。</w:t>
      </w:r>
    </w:p>
    <w:p/>
    <w:p>
      <w:pPr>
        <w:pStyle w:val="10"/>
        <w:rPr>
          <w:b/>
          <w:bCs w:val="0"/>
        </w:rPr>
      </w:pPr>
      <w:bookmarkStart w:id="6" w:name="_Toc22482222"/>
      <w:r>
        <w:rPr>
          <w:rFonts w:hint="eastAsia"/>
          <w:b/>
          <w:bCs w:val="0"/>
        </w:rPr>
        <w:t>第三条 保密信息的所有权</w:t>
      </w:r>
      <w:bookmarkEnd w:id="6"/>
    </w:p>
    <w:p>
      <w:pPr>
        <w:pStyle w:val="10"/>
        <w:ind w:firstLine="480" w:firstLineChars="200"/>
      </w:pPr>
      <w:r>
        <w:rPr>
          <w:rFonts w:hint="eastAsia"/>
        </w:rPr>
        <w:t>本协议的任何规定均不得被视为向乙方授予任何保密信息的任何专有权或所有权。</w:t>
      </w:r>
    </w:p>
    <w:p>
      <w:pPr>
        <w:pStyle w:val="11"/>
        <w:spacing w:after="0" w:line="360" w:lineRule="auto"/>
        <w:ind w:firstLine="315" w:firstLineChars="150"/>
      </w:pPr>
    </w:p>
    <w:p>
      <w:pPr>
        <w:pStyle w:val="10"/>
        <w:rPr>
          <w:b/>
          <w:bCs w:val="0"/>
        </w:rPr>
      </w:pPr>
      <w:bookmarkStart w:id="7" w:name="_Toc22482223"/>
      <w:r>
        <w:rPr>
          <w:rFonts w:hint="eastAsia"/>
          <w:b/>
          <w:bCs w:val="0"/>
        </w:rPr>
        <w:t>第四条 文件退还</w:t>
      </w:r>
      <w:bookmarkEnd w:id="7"/>
    </w:p>
    <w:p>
      <w:pPr>
        <w:pStyle w:val="10"/>
        <w:ind w:firstLine="480" w:firstLineChars="200"/>
      </w:pPr>
      <w:r>
        <w:rPr>
          <w:rFonts w:hint="eastAsia"/>
        </w:rPr>
        <w:t>如果双方同意终止项目合作，乙方应在上述终止后的30天内，向甲方退还全部保密信息及其全部副本（不论其是否是在计算机磁盘、光盘读取器、光盘、硬盘或软件中或在纸张载体上存储、保存或记录的）；如果一方退还上述保密信息及其全部副本为不可行，则该一方应将其销毁，或者从计算机或其他电子系统中将其删除或抹掉。</w:t>
      </w:r>
    </w:p>
    <w:p>
      <w:pPr>
        <w:pStyle w:val="11"/>
        <w:spacing w:after="0" w:line="360" w:lineRule="auto"/>
        <w:ind w:firstLine="315" w:firstLineChars="150"/>
      </w:pPr>
    </w:p>
    <w:p>
      <w:pPr>
        <w:pStyle w:val="10"/>
        <w:rPr>
          <w:b/>
          <w:bCs w:val="0"/>
        </w:rPr>
      </w:pPr>
      <w:bookmarkStart w:id="8" w:name="_Toc22482224"/>
      <w:r>
        <w:rPr>
          <w:rFonts w:hint="eastAsia"/>
          <w:b/>
          <w:bCs w:val="0"/>
        </w:rPr>
        <w:t>第五条 违约责任</w:t>
      </w:r>
      <w:bookmarkEnd w:id="8"/>
    </w:p>
    <w:p>
      <w:pPr>
        <w:pStyle w:val="11"/>
        <w:spacing w:after="0" w:line="360" w:lineRule="auto"/>
        <w:ind w:left="0" w:leftChars="0" w:firstLine="480" w:firstLineChars="200"/>
        <w:rPr>
          <w:bCs/>
          <w:sz w:val="24"/>
        </w:rPr>
      </w:pPr>
      <w:r>
        <w:rPr>
          <w:rFonts w:hint="eastAsia"/>
          <w:bCs/>
          <w:sz w:val="24"/>
        </w:rPr>
        <w:t>如果乙方违反其在本协议项下的义务，它应赔偿甲方因上述违约而招致的全</w:t>
      </w:r>
    </w:p>
    <w:p>
      <w:pPr>
        <w:pStyle w:val="11"/>
        <w:spacing w:after="0" w:line="360" w:lineRule="auto"/>
        <w:ind w:left="0" w:leftChars="0"/>
        <w:rPr>
          <w:bCs/>
          <w:sz w:val="24"/>
        </w:rPr>
      </w:pPr>
      <w:r>
        <w:rPr>
          <w:rFonts w:hint="eastAsia"/>
          <w:bCs/>
          <w:sz w:val="24"/>
        </w:rPr>
        <w:t>部实际损害，包括但不限于法律费用。</w:t>
      </w:r>
    </w:p>
    <w:p>
      <w:pPr>
        <w:pStyle w:val="11"/>
        <w:spacing w:after="0" w:line="360" w:lineRule="auto"/>
        <w:ind w:firstLine="360" w:firstLineChars="150"/>
        <w:rPr>
          <w:bCs/>
          <w:sz w:val="24"/>
        </w:rPr>
      </w:pPr>
    </w:p>
    <w:p>
      <w:pPr>
        <w:pStyle w:val="10"/>
        <w:rPr>
          <w:b/>
          <w:bCs w:val="0"/>
        </w:rPr>
      </w:pPr>
      <w:bookmarkStart w:id="9" w:name="_Toc22482225"/>
      <w:r>
        <w:rPr>
          <w:rFonts w:hint="eastAsia"/>
          <w:b/>
          <w:bCs w:val="0"/>
        </w:rPr>
        <w:t>第六条 其他约定</w:t>
      </w:r>
      <w:bookmarkEnd w:id="9"/>
    </w:p>
    <w:p>
      <w:pPr>
        <w:pStyle w:val="3"/>
        <w:keepNext w:val="0"/>
        <w:keepLines w:val="0"/>
        <w:widowControl/>
        <w:numPr>
          <w:ilvl w:val="0"/>
          <w:numId w:val="3"/>
        </w:numPr>
        <w:autoSpaceDE w:val="0"/>
        <w:autoSpaceDN w:val="0"/>
        <w:spacing w:before="0" w:after="0" w:line="360" w:lineRule="auto"/>
        <w:rPr>
          <w:rFonts w:ascii="Times New Roman" w:hAnsi="Times New Roman"/>
          <w:b w:val="0"/>
          <w:bCs w:val="0"/>
          <w:sz w:val="24"/>
          <w:szCs w:val="24"/>
        </w:rPr>
      </w:pPr>
      <w:r>
        <w:rPr>
          <w:rFonts w:hint="eastAsia" w:ascii="Times New Roman" w:hAnsi="Times New Roman"/>
          <w:b w:val="0"/>
          <w:bCs w:val="0"/>
          <w:sz w:val="24"/>
          <w:szCs w:val="24"/>
        </w:rPr>
        <w:t>乙方在本协议项下的义务对其法定继承人和许可受让人均有约束力。</w:t>
      </w:r>
    </w:p>
    <w:p>
      <w:pPr>
        <w:pStyle w:val="3"/>
        <w:keepNext w:val="0"/>
        <w:keepLines w:val="0"/>
        <w:widowControl/>
        <w:numPr>
          <w:ilvl w:val="0"/>
          <w:numId w:val="3"/>
        </w:numPr>
        <w:autoSpaceDE w:val="0"/>
        <w:autoSpaceDN w:val="0"/>
        <w:spacing w:before="0" w:after="0" w:line="360" w:lineRule="auto"/>
        <w:rPr>
          <w:rFonts w:ascii="Times New Roman" w:hAnsi="Times New Roman"/>
          <w:b w:val="0"/>
          <w:bCs w:val="0"/>
          <w:sz w:val="24"/>
          <w:szCs w:val="24"/>
        </w:rPr>
      </w:pPr>
      <w:r>
        <w:rPr>
          <w:rFonts w:hint="eastAsia" w:ascii="Times New Roman" w:hAnsi="Times New Roman"/>
          <w:b w:val="0"/>
          <w:bCs w:val="0"/>
          <w:sz w:val="24"/>
          <w:szCs w:val="24"/>
        </w:rPr>
        <w:t>本协议受中华人民共和国的法律法规管辖，并应依照中华人民共和国的法律法规解释。</w:t>
      </w:r>
    </w:p>
    <w:p>
      <w:pPr>
        <w:pStyle w:val="3"/>
        <w:keepNext w:val="0"/>
        <w:keepLines w:val="0"/>
        <w:widowControl/>
        <w:numPr>
          <w:ilvl w:val="0"/>
          <w:numId w:val="3"/>
        </w:numPr>
        <w:autoSpaceDE w:val="0"/>
        <w:autoSpaceDN w:val="0"/>
        <w:spacing w:before="0" w:after="0" w:line="360" w:lineRule="auto"/>
        <w:rPr>
          <w:rFonts w:ascii="Times New Roman" w:hAnsi="Times New Roman"/>
          <w:b w:val="0"/>
          <w:bCs w:val="0"/>
          <w:sz w:val="24"/>
          <w:szCs w:val="24"/>
        </w:rPr>
      </w:pPr>
      <w:r>
        <w:rPr>
          <w:rFonts w:hint="eastAsia" w:ascii="Times New Roman" w:hAnsi="Times New Roman"/>
          <w:b w:val="0"/>
          <w:bCs w:val="0"/>
          <w:sz w:val="24"/>
          <w:szCs w:val="24"/>
        </w:rPr>
        <w:t>因本协议引起、产生于本协议或与本协议有关的任何争议，应由双方通过友好协商解决。协商在一方向另一方交付进行协商的书面要求后立即开始。倘若在该通知发出后三十（</w:t>
      </w:r>
      <w:r>
        <w:rPr>
          <w:rFonts w:ascii="Times New Roman" w:hAnsi="Times New Roman"/>
          <w:b w:val="0"/>
          <w:bCs w:val="0"/>
          <w:sz w:val="24"/>
          <w:szCs w:val="24"/>
        </w:rPr>
        <w:t>30）天内，争议未能通过协商解决，双方应将争议提交</w:t>
      </w:r>
      <w:r>
        <w:rPr>
          <w:rFonts w:hint="eastAsia" w:ascii="Times New Roman" w:hAnsi="Times New Roman"/>
          <w:b w:val="0"/>
          <w:bCs w:val="0"/>
          <w:sz w:val="24"/>
          <w:szCs w:val="24"/>
        </w:rPr>
        <w:t>合肥</w:t>
      </w:r>
      <w:r>
        <w:rPr>
          <w:rFonts w:ascii="Times New Roman" w:hAnsi="Times New Roman"/>
          <w:b w:val="0"/>
          <w:bCs w:val="0"/>
          <w:sz w:val="24"/>
          <w:szCs w:val="24"/>
        </w:rPr>
        <w:t>仲裁委员会仲裁。</w:t>
      </w:r>
    </w:p>
    <w:p>
      <w:pPr>
        <w:pStyle w:val="3"/>
        <w:keepNext w:val="0"/>
        <w:keepLines w:val="0"/>
        <w:widowControl/>
        <w:numPr>
          <w:ilvl w:val="0"/>
          <w:numId w:val="3"/>
        </w:numPr>
        <w:autoSpaceDE w:val="0"/>
        <w:autoSpaceDN w:val="0"/>
        <w:spacing w:before="0" w:after="0" w:line="360" w:lineRule="auto"/>
        <w:rPr>
          <w:rFonts w:ascii="Times New Roman" w:hAnsi="Times New Roman"/>
          <w:b w:val="0"/>
          <w:bCs w:val="0"/>
          <w:sz w:val="24"/>
          <w:szCs w:val="24"/>
        </w:rPr>
      </w:pPr>
      <w:r>
        <w:rPr>
          <w:rFonts w:hint="eastAsia" w:ascii="Times New Roman" w:hAnsi="Times New Roman"/>
          <w:b w:val="0"/>
          <w:bCs w:val="0"/>
          <w:sz w:val="24"/>
          <w:szCs w:val="24"/>
        </w:rPr>
        <w:t>除非双方采用书面形式，否则对本协议的任何修正均属无效。</w:t>
      </w:r>
    </w:p>
    <w:p>
      <w:pPr>
        <w:pStyle w:val="3"/>
        <w:keepNext w:val="0"/>
        <w:keepLines w:val="0"/>
        <w:widowControl/>
        <w:numPr>
          <w:ilvl w:val="0"/>
          <w:numId w:val="3"/>
        </w:numPr>
        <w:autoSpaceDE w:val="0"/>
        <w:autoSpaceDN w:val="0"/>
        <w:spacing w:before="0" w:after="0" w:line="360" w:lineRule="auto"/>
        <w:rPr>
          <w:rFonts w:ascii="Times New Roman" w:hAnsi="Times New Roman"/>
          <w:b w:val="0"/>
          <w:bCs w:val="0"/>
          <w:sz w:val="24"/>
          <w:szCs w:val="24"/>
        </w:rPr>
      </w:pPr>
      <w:r>
        <w:rPr>
          <w:rFonts w:hint="eastAsia" w:ascii="Times New Roman" w:hAnsi="Times New Roman"/>
          <w:b w:val="0"/>
          <w:bCs w:val="0"/>
          <w:sz w:val="24"/>
          <w:szCs w:val="24"/>
        </w:rPr>
        <w:t>本协议一式两份份，每份皆具有同等法律效力。</w:t>
      </w:r>
    </w:p>
    <w:p>
      <w:pPr>
        <w:pStyle w:val="3"/>
        <w:keepNext w:val="0"/>
        <w:keepLines w:val="0"/>
        <w:widowControl/>
        <w:numPr>
          <w:ilvl w:val="0"/>
          <w:numId w:val="3"/>
        </w:numPr>
        <w:autoSpaceDE w:val="0"/>
        <w:autoSpaceDN w:val="0"/>
        <w:spacing w:before="0" w:after="0" w:line="360" w:lineRule="auto"/>
      </w:pPr>
      <w:r>
        <w:rPr>
          <w:rFonts w:hint="eastAsia" w:ascii="Times New Roman" w:hAnsi="Times New Roman"/>
          <w:bCs w:val="0"/>
          <w:sz w:val="24"/>
          <w:szCs w:val="24"/>
        </w:rPr>
        <w:t>本协议在双方签字并盖章之日立即生效。</w:t>
      </w:r>
    </w:p>
    <w:p>
      <w:pPr>
        <w:pStyle w:val="10"/>
      </w:pPr>
      <w:r>
        <w:rPr>
          <w:rFonts w:hint="eastAsia"/>
        </w:rPr>
        <w:t>甲方：（盖章）</w:t>
      </w:r>
    </w:p>
    <w:p>
      <w:pPr>
        <w:pStyle w:val="10"/>
      </w:pPr>
      <w:r>
        <w:rPr>
          <w:rFonts w:hint="eastAsia"/>
        </w:rPr>
        <w:t>法定代表人或授权代表人：</w:t>
      </w:r>
    </w:p>
    <w:p>
      <w:pPr>
        <w:pStyle w:val="10"/>
      </w:pPr>
      <w:r>
        <w:rPr>
          <w:rFonts w:hint="eastAsia"/>
        </w:rPr>
        <w:t>日期：   年    月     日</w:t>
      </w:r>
    </w:p>
    <w:p>
      <w:pPr>
        <w:pStyle w:val="10"/>
      </w:pPr>
    </w:p>
    <w:p>
      <w:pPr>
        <w:pStyle w:val="10"/>
      </w:pPr>
      <w:r>
        <w:rPr>
          <w:rFonts w:hint="eastAsia"/>
        </w:rPr>
        <w:t>乙方：（盖章）</w:t>
      </w:r>
    </w:p>
    <w:p>
      <w:pPr>
        <w:pStyle w:val="10"/>
      </w:pPr>
      <w:r>
        <w:rPr>
          <w:rFonts w:hint="eastAsia"/>
        </w:rPr>
        <w:t>法定代表人或授权代表人：</w:t>
      </w:r>
    </w:p>
    <w:p>
      <w:pPr>
        <w:pStyle w:val="10"/>
        <w:rPr>
          <w:rFonts w:ascii="宋体" w:hAnsi="宋体"/>
          <w:b/>
          <w:bCs w:val="0"/>
        </w:rPr>
      </w:pPr>
      <w:r>
        <w:rPr>
          <w:rFonts w:hint="eastAsia"/>
        </w:rPr>
        <w:t>日期：   年    月     日</w:t>
      </w:r>
    </w:p>
    <w:p/>
    <w:p/>
    <w:p/>
    <w:p>
      <w:pPr>
        <w:tabs>
          <w:tab w:val="left" w:pos="900"/>
        </w:tabs>
        <w:adjustRightInd w:val="0"/>
        <w:snapToGrid w:val="0"/>
        <w:spacing w:line="360" w:lineRule="auto"/>
        <w:rPr>
          <w:rFonts w:ascii="宋体" w:hAnsi="宋体"/>
          <w:b/>
          <w:bCs/>
          <w:sz w:val="24"/>
        </w:rPr>
      </w:pPr>
      <w:r>
        <w:rPr>
          <w:rFonts w:hint="eastAsia" w:ascii="宋体" w:hAnsi="宋体"/>
          <w:b/>
          <w:sz w:val="24"/>
        </w:rPr>
        <w:t>运输招标</w:t>
      </w:r>
      <w:r>
        <w:rPr>
          <w:rFonts w:hint="eastAsia"/>
          <w:b/>
          <w:sz w:val="24"/>
        </w:rPr>
        <w:t>书</w:t>
      </w:r>
      <w:r>
        <w:rPr>
          <w:rFonts w:hint="eastAsia" w:ascii="宋体" w:hAnsi="宋体"/>
          <w:b/>
          <w:bCs/>
          <w:sz w:val="24"/>
        </w:rPr>
        <w:t>附件9</w:t>
      </w:r>
    </w:p>
    <w:p>
      <w:pPr>
        <w:spacing w:line="360" w:lineRule="auto"/>
        <w:jc w:val="center"/>
        <w:rPr>
          <w:rFonts w:ascii="宋体" w:hAnsi="宋体"/>
          <w:b/>
          <w:bCs/>
          <w:sz w:val="24"/>
        </w:rPr>
      </w:pPr>
    </w:p>
    <w:p>
      <w:pPr>
        <w:spacing w:line="360" w:lineRule="auto"/>
        <w:jc w:val="center"/>
        <w:rPr>
          <w:rFonts w:ascii="宋体" w:hAnsi="宋体"/>
          <w:b/>
          <w:bCs/>
          <w:sz w:val="24"/>
        </w:rPr>
      </w:pPr>
      <w:r>
        <w:rPr>
          <w:rFonts w:hint="eastAsia" w:ascii="宋体" w:hAnsi="宋体"/>
          <w:b/>
          <w:bCs/>
          <w:sz w:val="24"/>
          <w:lang w:val="en-US" w:eastAsia="zh-CN"/>
        </w:rPr>
        <w:t>干线运输</w:t>
      </w:r>
      <w:r>
        <w:rPr>
          <w:rFonts w:hint="eastAsia" w:ascii="宋体" w:hAnsi="宋体"/>
          <w:b/>
          <w:bCs/>
          <w:sz w:val="24"/>
        </w:rPr>
        <w:t>授予书（格式）</w:t>
      </w:r>
    </w:p>
    <w:p>
      <w:pPr>
        <w:spacing w:line="360" w:lineRule="auto"/>
        <w:jc w:val="center"/>
        <w:rPr>
          <w:rFonts w:ascii="宋体" w:hAnsi="宋体"/>
          <w:b/>
          <w:bCs/>
          <w:sz w:val="24"/>
        </w:rPr>
      </w:pPr>
    </w:p>
    <w:p>
      <w:pPr>
        <w:spacing w:line="360" w:lineRule="auto"/>
        <w:rPr>
          <w:rFonts w:ascii="宋体" w:hAnsi="宋体"/>
          <w:sz w:val="24"/>
        </w:rPr>
      </w:pPr>
      <w:r>
        <w:rPr>
          <w:rFonts w:hint="eastAsia" w:ascii="宋体" w:hAnsi="宋体"/>
          <w:sz w:val="24"/>
        </w:rPr>
        <w:t>__________________公司：</w:t>
      </w:r>
    </w:p>
    <w:p>
      <w:pPr>
        <w:spacing w:line="360" w:lineRule="auto"/>
        <w:ind w:firstLine="240" w:firstLineChars="100"/>
        <w:rPr>
          <w:rFonts w:ascii="宋体" w:hAnsi="宋体"/>
          <w:sz w:val="24"/>
        </w:rPr>
      </w:pPr>
      <w:r>
        <w:rPr>
          <w:rFonts w:hint="eastAsia" w:ascii="宋体" w:hAnsi="宋体"/>
          <w:sz w:val="24"/>
        </w:rPr>
        <w:t xml:space="preserve">  经安徽丰原医药营销有限公司最终评定，贵司获得物流项目运输招标</w:t>
      </w:r>
      <w:r>
        <w:rPr>
          <w:rFonts w:hint="eastAsia" w:ascii="宋体" w:hAnsi="宋体"/>
          <w:sz w:val="24"/>
          <w:u w:val="single"/>
          <w:lang w:val="en-US" w:eastAsia="zh-CN"/>
        </w:rPr>
        <w:t xml:space="preserve">    </w:t>
      </w:r>
      <w:r>
        <w:rPr>
          <w:rFonts w:hint="eastAsia" w:ascii="宋体" w:hAnsi="宋体"/>
          <w:sz w:val="24"/>
          <w:lang w:val="en-US" w:eastAsia="zh-CN"/>
        </w:rPr>
        <w:t>工厂发到</w:t>
      </w:r>
      <w:r>
        <w:rPr>
          <w:rFonts w:hint="eastAsia" w:ascii="宋体" w:hAnsi="宋体"/>
          <w:sz w:val="24"/>
          <w:u w:val="single"/>
          <w:lang w:val="en-US" w:eastAsia="zh-CN"/>
        </w:rPr>
        <w:t xml:space="preserve">       </w:t>
      </w:r>
      <w:r>
        <w:rPr>
          <w:rFonts w:hint="eastAsia" w:ascii="宋体" w:hAnsi="宋体"/>
          <w:sz w:val="24"/>
          <w:lang w:val="en-US" w:eastAsia="zh-CN"/>
        </w:rPr>
        <w:t>的干线运输</w:t>
      </w:r>
      <w:r>
        <w:rPr>
          <w:rFonts w:hint="eastAsia" w:ascii="宋体" w:hAnsi="宋体"/>
          <w:sz w:val="24"/>
        </w:rPr>
        <w:t>，特此通知。</w:t>
      </w:r>
    </w:p>
    <w:p>
      <w:pPr>
        <w:spacing w:line="360" w:lineRule="auto"/>
        <w:ind w:firstLine="240" w:firstLineChars="100"/>
        <w:rPr>
          <w:rFonts w:ascii="宋体" w:hAnsi="宋体"/>
          <w:sz w:val="24"/>
        </w:rPr>
      </w:pPr>
      <w:r>
        <w:rPr>
          <w:rFonts w:hint="eastAsia" w:ascii="宋体" w:hAnsi="宋体"/>
          <w:sz w:val="24"/>
        </w:rPr>
        <w:t xml:space="preserve">  现通知贵司，请按贵司报价承诺的相关技术规范、要求、硬件措施、项目方案和项目管理团队，积极筹备。</w:t>
      </w:r>
    </w:p>
    <w:p>
      <w:pPr>
        <w:spacing w:line="360" w:lineRule="auto"/>
        <w:ind w:firstLine="240" w:firstLineChars="100"/>
        <w:rPr>
          <w:rFonts w:ascii="宋体" w:hAnsi="宋体"/>
          <w:sz w:val="24"/>
        </w:rPr>
      </w:pPr>
      <w:r>
        <w:rPr>
          <w:rFonts w:hint="eastAsia" w:ascii="宋体" w:hAnsi="宋体"/>
          <w:sz w:val="24"/>
        </w:rPr>
        <w:t xml:space="preserve">  在双方签订正式合同前，此授予书起到合同效力作用。正式合同签订后，此生意授予书自动失效。</w:t>
      </w:r>
    </w:p>
    <w:p>
      <w:pPr>
        <w:spacing w:line="360" w:lineRule="auto"/>
        <w:ind w:firstLine="240" w:firstLineChars="100"/>
        <w:rPr>
          <w:rFonts w:ascii="宋体" w:hAnsi="宋体"/>
          <w:sz w:val="24"/>
        </w:rPr>
      </w:pPr>
    </w:p>
    <w:p>
      <w:pPr>
        <w:spacing w:line="360" w:lineRule="auto"/>
        <w:ind w:firstLine="240" w:firstLineChars="100"/>
        <w:rPr>
          <w:rFonts w:ascii="宋体" w:hAnsi="宋体"/>
          <w:sz w:val="24"/>
        </w:rPr>
      </w:pPr>
    </w:p>
    <w:p>
      <w:pPr>
        <w:spacing w:line="360" w:lineRule="auto"/>
        <w:ind w:firstLine="240" w:firstLineChars="100"/>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授予人：安徽丰原医药营销有限公司</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                                                                        </w:t>
      </w:r>
    </w:p>
    <w:p>
      <w:pPr>
        <w:spacing w:line="360" w:lineRule="auto"/>
        <w:jc w:val="center"/>
        <w:rPr>
          <w:rFonts w:ascii="宋体" w:hAnsi="宋体"/>
          <w:b/>
          <w:bCs/>
          <w:sz w:val="24"/>
        </w:rPr>
      </w:pPr>
      <w:r>
        <w:rPr>
          <w:rFonts w:hint="eastAsia" w:ascii="宋体" w:hAnsi="宋体"/>
          <w:b/>
          <w:bCs/>
          <w:sz w:val="24"/>
          <w:lang w:val="en-US" w:eastAsia="zh-CN"/>
        </w:rPr>
        <w:t>干线运输</w:t>
      </w:r>
      <w:r>
        <w:rPr>
          <w:rFonts w:hint="eastAsia" w:ascii="宋体" w:hAnsi="宋体"/>
          <w:b/>
          <w:bCs/>
          <w:sz w:val="24"/>
        </w:rPr>
        <w:t>授予书（签收回执）</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安徽丰原医药营销有限公司：</w:t>
      </w:r>
    </w:p>
    <w:p>
      <w:pPr>
        <w:spacing w:line="360" w:lineRule="auto"/>
        <w:ind w:firstLine="240" w:firstLineChars="100"/>
        <w:rPr>
          <w:rFonts w:ascii="宋体" w:hAnsi="宋体"/>
          <w:sz w:val="24"/>
        </w:rPr>
      </w:pPr>
      <w:r>
        <w:rPr>
          <w:rFonts w:hint="eastAsia" w:ascii="宋体" w:hAnsi="宋体"/>
          <w:sz w:val="24"/>
        </w:rPr>
        <w:tab/>
      </w:r>
      <w:r>
        <w:rPr>
          <w:rFonts w:hint="eastAsia" w:ascii="宋体" w:hAnsi="宋体"/>
          <w:sz w:val="24"/>
        </w:rPr>
        <w:t>我司已接到贵司物流项目运输招标</w:t>
      </w:r>
      <w:r>
        <w:rPr>
          <w:rFonts w:hint="eastAsia" w:ascii="宋体" w:hAnsi="宋体"/>
          <w:sz w:val="24"/>
          <w:u w:val="single"/>
          <w:lang w:val="en-US" w:eastAsia="zh-CN"/>
        </w:rPr>
        <w:t xml:space="preserve">    </w:t>
      </w:r>
      <w:r>
        <w:rPr>
          <w:rFonts w:hint="eastAsia" w:ascii="宋体" w:hAnsi="宋体"/>
          <w:sz w:val="24"/>
          <w:lang w:val="en-US" w:eastAsia="zh-CN"/>
        </w:rPr>
        <w:t>工厂发到</w:t>
      </w:r>
      <w:r>
        <w:rPr>
          <w:rFonts w:hint="eastAsia" w:ascii="宋体" w:hAnsi="宋体"/>
          <w:sz w:val="24"/>
          <w:u w:val="single"/>
          <w:lang w:val="en-US" w:eastAsia="zh-CN"/>
        </w:rPr>
        <w:t xml:space="preserve">       </w:t>
      </w:r>
      <w:r>
        <w:rPr>
          <w:rFonts w:hint="eastAsia" w:ascii="宋体" w:hAnsi="宋体"/>
          <w:sz w:val="24"/>
          <w:lang w:val="en-US" w:eastAsia="zh-CN"/>
        </w:rPr>
        <w:t>的干线运输</w:t>
      </w:r>
      <w:r>
        <w:rPr>
          <w:rFonts w:hint="eastAsia" w:ascii="宋体" w:hAnsi="宋体"/>
          <w:sz w:val="24"/>
        </w:rPr>
        <w:t>的《干线运输授予书》，并将严格按《干线运输授予书》和报价承诺内容履新。</w:t>
      </w:r>
    </w:p>
    <w:p>
      <w:pPr>
        <w:spacing w:line="360" w:lineRule="auto"/>
        <w:ind w:firstLine="240" w:firstLineChars="100"/>
        <w:rPr>
          <w:rFonts w:ascii="宋体" w:hAnsi="宋体"/>
          <w:sz w:val="24"/>
        </w:rPr>
      </w:pPr>
      <w:r>
        <w:rPr>
          <w:rFonts w:hint="eastAsia" w:ascii="宋体" w:hAnsi="宋体"/>
          <w:sz w:val="24"/>
        </w:rPr>
        <w:tab/>
      </w:r>
      <w:r>
        <w:rPr>
          <w:rFonts w:hint="eastAsia" w:ascii="宋体" w:hAnsi="宋体"/>
          <w:sz w:val="24"/>
        </w:rPr>
        <w:t>特此确认。</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ind w:firstLine="360" w:firstLineChars="150"/>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确认人：____________（公司公章）</w:t>
      </w:r>
    </w:p>
    <w:p>
      <w:pPr>
        <w:spacing w:line="360" w:lineRule="auto"/>
        <w:rPr>
          <w:rFonts w:ascii="宋体" w:hAnsi="宋体"/>
          <w:sz w:val="24"/>
        </w:rPr>
      </w:pP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确认日期：20</w:t>
      </w:r>
      <w:r>
        <w:rPr>
          <w:rFonts w:ascii="宋体" w:hAnsi="宋体"/>
          <w:sz w:val="24"/>
        </w:rPr>
        <w:t>2</w:t>
      </w:r>
      <w:r>
        <w:rPr>
          <w:rFonts w:hint="eastAsia" w:ascii="宋体" w:hAnsi="宋体"/>
          <w:sz w:val="24"/>
          <w:lang w:val="en-US" w:eastAsia="zh-CN"/>
        </w:rPr>
        <w:t>3</w:t>
      </w:r>
      <w:r>
        <w:rPr>
          <w:rFonts w:hint="eastAsia" w:ascii="宋体" w:hAnsi="宋体"/>
          <w:sz w:val="24"/>
        </w:rPr>
        <w:t>年___月___日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宋体-WinCharSetFFFF-H">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245CD"/>
    <w:multiLevelType w:val="multilevel"/>
    <w:tmpl w:val="320245C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B84304D"/>
    <w:multiLevelType w:val="multilevel"/>
    <w:tmpl w:val="5B84304D"/>
    <w:lvl w:ilvl="0" w:tentative="0">
      <w:start w:val="1"/>
      <w:numFmt w:val="decimal"/>
      <w:lvlText w:val="%1."/>
      <w:lvlJc w:val="left"/>
      <w:pPr>
        <w:tabs>
          <w:tab w:val="left" w:pos="862"/>
        </w:tabs>
        <w:ind w:left="862" w:hanging="363"/>
      </w:pPr>
      <w:rPr>
        <w:rFonts w:hint="eastAsia"/>
        <w:b w:val="0"/>
        <w:i w:val="0"/>
        <w:sz w:val="24"/>
      </w:rPr>
    </w:lvl>
    <w:lvl w:ilvl="1" w:tentative="0">
      <w:start w:val="1"/>
      <w:numFmt w:val="lowerRoman"/>
      <w:lvlText w:val="(%2)"/>
      <w:lvlJc w:val="left"/>
      <w:pPr>
        <w:tabs>
          <w:tab w:val="left" w:pos="1440"/>
        </w:tabs>
        <w:ind w:left="1440" w:hanging="720"/>
      </w:pPr>
      <w:rPr>
        <w:rFonts w:hint="default"/>
      </w:rPr>
    </w:lvl>
    <w:lvl w:ilvl="2" w:tentative="0">
      <w:start w:val="1"/>
      <w:numFmt w:val="lowerLetter"/>
      <w:lvlText w:val="(%3)"/>
      <w:lvlJc w:val="left"/>
      <w:pPr>
        <w:tabs>
          <w:tab w:val="left" w:pos="2160"/>
        </w:tabs>
        <w:ind w:left="2160" w:hanging="720"/>
      </w:pPr>
      <w:rPr>
        <w:rFonts w:hint="default"/>
      </w:rPr>
    </w:lvl>
    <w:lvl w:ilvl="3" w:tentative="0">
      <w:start w:val="1"/>
      <w:numFmt w:val="upperRoman"/>
      <w:lvlText w:val="%4."/>
      <w:lvlJc w:val="left"/>
      <w:pPr>
        <w:tabs>
          <w:tab w:val="left" w:pos="2880"/>
        </w:tabs>
        <w:ind w:left="2880" w:hanging="720"/>
      </w:pPr>
      <w:rPr>
        <w:rFonts w:hint="default"/>
      </w:rPr>
    </w:lvl>
    <w:lvl w:ilvl="4" w:tentative="0">
      <w:start w:val="1"/>
      <w:numFmt w:val="decimal"/>
      <w:lvlText w:val="(%5)"/>
      <w:lvlJc w:val="left"/>
      <w:pPr>
        <w:tabs>
          <w:tab w:val="left" w:pos="3600"/>
        </w:tabs>
        <w:ind w:left="3600" w:hanging="720"/>
      </w:pPr>
      <w:rPr>
        <w:rFonts w:hint="default"/>
      </w:rPr>
    </w:lvl>
    <w:lvl w:ilvl="5" w:tentative="0">
      <w:start w:val="1"/>
      <w:numFmt w:val="decimal"/>
      <w:lvlText w:val="%6."/>
      <w:lvlJc w:val="left"/>
      <w:pPr>
        <w:tabs>
          <w:tab w:val="left" w:pos="4321"/>
        </w:tabs>
        <w:ind w:left="4321" w:hanging="721"/>
      </w:pPr>
      <w:rPr>
        <w:rFonts w:hint="default"/>
      </w:rPr>
    </w:lvl>
    <w:lvl w:ilvl="6" w:tentative="0">
      <w:start w:val="1"/>
      <w:numFmt w:val="lowerRoman"/>
      <w:lvlText w:val="(%7)"/>
      <w:lvlJc w:val="left"/>
      <w:pPr>
        <w:tabs>
          <w:tab w:val="left" w:pos="4680"/>
        </w:tabs>
        <w:ind w:left="4320" w:firstLine="0"/>
      </w:pPr>
      <w:rPr>
        <w:rFonts w:hint="default"/>
      </w:rPr>
    </w:lvl>
    <w:lvl w:ilvl="7" w:tentative="0">
      <w:start w:val="1"/>
      <w:numFmt w:val="lowerLetter"/>
      <w:lvlText w:val="(%8)"/>
      <w:lvlJc w:val="left"/>
      <w:pPr>
        <w:tabs>
          <w:tab w:val="left" w:pos="5400"/>
        </w:tabs>
        <w:ind w:left="5040" w:firstLine="0"/>
      </w:pPr>
      <w:rPr>
        <w:rFonts w:hint="default"/>
      </w:rPr>
    </w:lvl>
    <w:lvl w:ilvl="8" w:tentative="0">
      <w:start w:val="1"/>
      <w:numFmt w:val="lowerRoman"/>
      <w:lvlText w:val="(%9)"/>
      <w:lvlJc w:val="left"/>
      <w:pPr>
        <w:tabs>
          <w:tab w:val="left" w:pos="6120"/>
        </w:tabs>
        <w:ind w:left="5760" w:firstLine="0"/>
      </w:pPr>
      <w:rPr>
        <w:rFonts w:hint="default"/>
      </w:rPr>
    </w:lvl>
  </w:abstractNum>
  <w:abstractNum w:abstractNumId="2">
    <w:nsid w:val="77473499"/>
    <w:multiLevelType w:val="multilevel"/>
    <w:tmpl w:val="77473499"/>
    <w:lvl w:ilvl="0" w:tentative="0">
      <w:start w:val="1"/>
      <w:numFmt w:val="chineseCountingThousand"/>
      <w:lvlText w:val="第%1条"/>
      <w:lvlJc w:val="left"/>
      <w:pPr>
        <w:tabs>
          <w:tab w:val="left" w:pos="0"/>
        </w:tabs>
        <w:ind w:left="0" w:firstLine="567"/>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ZmVjNGRhNTY2YTA4NmUyNDgxODM4MjFiNmJmMzYifQ=="/>
  </w:docVars>
  <w:rsids>
    <w:rsidRoot w:val="00F9586F"/>
    <w:rsid w:val="000141AA"/>
    <w:rsid w:val="00055E82"/>
    <w:rsid w:val="0005768A"/>
    <w:rsid w:val="000663CB"/>
    <w:rsid w:val="000A5FF8"/>
    <w:rsid w:val="000C334A"/>
    <w:rsid w:val="000D2000"/>
    <w:rsid w:val="001A69A3"/>
    <w:rsid w:val="001C4D58"/>
    <w:rsid w:val="001E5139"/>
    <w:rsid w:val="002178C0"/>
    <w:rsid w:val="002232D2"/>
    <w:rsid w:val="00244EA5"/>
    <w:rsid w:val="002F61AA"/>
    <w:rsid w:val="00311C1F"/>
    <w:rsid w:val="00317E89"/>
    <w:rsid w:val="00352583"/>
    <w:rsid w:val="00391464"/>
    <w:rsid w:val="00394B4E"/>
    <w:rsid w:val="003A5302"/>
    <w:rsid w:val="003F757D"/>
    <w:rsid w:val="0041026D"/>
    <w:rsid w:val="004A6D19"/>
    <w:rsid w:val="00503C45"/>
    <w:rsid w:val="00715A92"/>
    <w:rsid w:val="00727426"/>
    <w:rsid w:val="007D66A2"/>
    <w:rsid w:val="00802E65"/>
    <w:rsid w:val="00805739"/>
    <w:rsid w:val="00993997"/>
    <w:rsid w:val="009E61C9"/>
    <w:rsid w:val="009F2466"/>
    <w:rsid w:val="00AB1729"/>
    <w:rsid w:val="00AB517E"/>
    <w:rsid w:val="00AE6FDA"/>
    <w:rsid w:val="00B2039B"/>
    <w:rsid w:val="00B22544"/>
    <w:rsid w:val="00B5428E"/>
    <w:rsid w:val="00B97D46"/>
    <w:rsid w:val="00C5079C"/>
    <w:rsid w:val="00C72398"/>
    <w:rsid w:val="00CD1732"/>
    <w:rsid w:val="00D02F61"/>
    <w:rsid w:val="00D170A6"/>
    <w:rsid w:val="00D327B0"/>
    <w:rsid w:val="00D94200"/>
    <w:rsid w:val="00DA5451"/>
    <w:rsid w:val="00DC0321"/>
    <w:rsid w:val="00DD7C3E"/>
    <w:rsid w:val="00E30FA4"/>
    <w:rsid w:val="00E75864"/>
    <w:rsid w:val="00F11F22"/>
    <w:rsid w:val="00F21C15"/>
    <w:rsid w:val="00F840FA"/>
    <w:rsid w:val="00F9586F"/>
    <w:rsid w:val="00FE0B27"/>
    <w:rsid w:val="2EEF27D1"/>
    <w:rsid w:val="307F3186"/>
    <w:rsid w:val="5E466CFA"/>
    <w:rsid w:val="6CE82578"/>
    <w:rsid w:val="78332904"/>
    <w:rsid w:val="787F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8"/>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29"/>
    <w:qFormat/>
    <w:uiPriority w:val="0"/>
    <w:pPr>
      <w:widowControl/>
      <w:tabs>
        <w:tab w:val="left" w:pos="2160"/>
      </w:tabs>
      <w:autoSpaceDE w:val="0"/>
      <w:autoSpaceDN w:val="0"/>
      <w:spacing w:after="340" w:line="340" w:lineRule="exact"/>
      <w:ind w:left="2160" w:hanging="720"/>
      <w:jc w:val="left"/>
      <w:outlineLvl w:val="4"/>
    </w:pPr>
    <w:rPr>
      <w:rFonts w:ascii="宋体" w:hAnsi="宋体"/>
      <w:kern w:val="0"/>
      <w:sz w:val="24"/>
      <w:lang w:val="en-GB" w:eastAsia="en-US"/>
    </w:rPr>
  </w:style>
  <w:style w:type="paragraph" w:styleId="7">
    <w:name w:val="heading 6"/>
    <w:basedOn w:val="1"/>
    <w:next w:val="1"/>
    <w:link w:val="30"/>
    <w:qFormat/>
    <w:uiPriority w:val="0"/>
    <w:pPr>
      <w:widowControl/>
      <w:tabs>
        <w:tab w:val="left" w:pos="2160"/>
      </w:tabs>
      <w:autoSpaceDE w:val="0"/>
      <w:autoSpaceDN w:val="0"/>
      <w:spacing w:after="340" w:line="340" w:lineRule="exact"/>
      <w:ind w:left="2160" w:hanging="720"/>
      <w:jc w:val="left"/>
      <w:outlineLvl w:val="5"/>
    </w:pPr>
    <w:rPr>
      <w:rFonts w:ascii="宋体" w:hAnsi="宋体"/>
      <w:kern w:val="0"/>
      <w:sz w:val="24"/>
      <w:lang w:val="en-GB" w:eastAsia="en-US"/>
    </w:rPr>
  </w:style>
  <w:style w:type="paragraph" w:styleId="8">
    <w:name w:val="heading 9"/>
    <w:basedOn w:val="1"/>
    <w:next w:val="1"/>
    <w:link w:val="31"/>
    <w:qFormat/>
    <w:uiPriority w:val="0"/>
    <w:pPr>
      <w:widowControl/>
      <w:tabs>
        <w:tab w:val="left" w:pos="4321"/>
      </w:tabs>
      <w:autoSpaceDE w:val="0"/>
      <w:autoSpaceDN w:val="0"/>
      <w:spacing w:after="340" w:line="340" w:lineRule="exact"/>
      <w:ind w:left="4321" w:hanging="721"/>
      <w:jc w:val="left"/>
      <w:outlineLvl w:val="8"/>
    </w:pPr>
    <w:rPr>
      <w:rFonts w:ascii="宋体" w:hAnsi="宋体"/>
      <w:kern w:val="0"/>
      <w:sz w:val="24"/>
      <w:lang w:val="en-GB" w:eastAsia="en-US"/>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link w:val="38"/>
    <w:unhideWhenUsed/>
    <w:qFormat/>
    <w:uiPriority w:val="99"/>
    <w:pPr>
      <w:jc w:val="left"/>
    </w:pPr>
  </w:style>
  <w:style w:type="paragraph" w:styleId="10">
    <w:name w:val="Body Text"/>
    <w:basedOn w:val="1"/>
    <w:link w:val="36"/>
    <w:semiHidden/>
    <w:qFormat/>
    <w:uiPriority w:val="0"/>
    <w:pPr>
      <w:tabs>
        <w:tab w:val="left" w:pos="2790"/>
      </w:tabs>
      <w:spacing w:line="360" w:lineRule="auto"/>
    </w:pPr>
    <w:rPr>
      <w:bCs/>
      <w:sz w:val="24"/>
    </w:rPr>
  </w:style>
  <w:style w:type="paragraph" w:styleId="11">
    <w:name w:val="Body Text Indent"/>
    <w:basedOn w:val="1"/>
    <w:link w:val="40"/>
    <w:unhideWhenUsed/>
    <w:qFormat/>
    <w:uiPriority w:val="99"/>
    <w:pPr>
      <w:spacing w:after="120"/>
      <w:ind w:left="420" w:leftChars="200"/>
    </w:pPr>
  </w:style>
  <w:style w:type="paragraph" w:styleId="12">
    <w:name w:val="Body Text Indent 2"/>
    <w:basedOn w:val="1"/>
    <w:link w:val="32"/>
    <w:semiHidden/>
    <w:qFormat/>
    <w:uiPriority w:val="0"/>
    <w:pPr>
      <w:ind w:left="-840"/>
    </w:pPr>
    <w:rPr>
      <w:sz w:val="24"/>
    </w:rPr>
  </w:style>
  <w:style w:type="paragraph" w:styleId="13">
    <w:name w:val="Balloon Text"/>
    <w:basedOn w:val="1"/>
    <w:link w:val="35"/>
    <w:semiHidden/>
    <w:qFormat/>
    <w:uiPriority w:val="0"/>
    <w:rPr>
      <w:sz w:val="18"/>
      <w:szCs w:val="18"/>
    </w:rPr>
  </w:style>
  <w:style w:type="paragraph" w:styleId="14">
    <w:name w:val="footer"/>
    <w:basedOn w:val="1"/>
    <w:link w:val="34"/>
    <w:semiHidden/>
    <w:qFormat/>
    <w:uiPriority w:val="0"/>
    <w:pPr>
      <w:tabs>
        <w:tab w:val="center" w:pos="4153"/>
        <w:tab w:val="right" w:pos="8306"/>
      </w:tabs>
      <w:snapToGrid w:val="0"/>
      <w:jc w:val="left"/>
    </w:pPr>
    <w:rPr>
      <w:sz w:val="18"/>
      <w:szCs w:val="18"/>
    </w:rPr>
  </w:style>
  <w:style w:type="paragraph" w:styleId="15">
    <w:name w:val="header"/>
    <w:basedOn w:val="1"/>
    <w:link w:val="33"/>
    <w:semiHidden/>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303"/>
      </w:tabs>
      <w:jc w:val="center"/>
    </w:pPr>
  </w:style>
  <w:style w:type="paragraph" w:styleId="17">
    <w:name w:val="Title"/>
    <w:basedOn w:val="1"/>
    <w:link w:val="42"/>
    <w:qFormat/>
    <w:uiPriority w:val="0"/>
    <w:pPr>
      <w:widowControl/>
      <w:autoSpaceDE w:val="0"/>
      <w:autoSpaceDN w:val="0"/>
      <w:jc w:val="center"/>
    </w:pPr>
    <w:rPr>
      <w:rFonts w:ascii="宋体" w:hAnsi="宋体"/>
      <w:b/>
      <w:caps/>
      <w:kern w:val="0"/>
      <w:sz w:val="26"/>
      <w:szCs w:val="28"/>
      <w:lang w:val="en-GB" w:eastAsia="en-US"/>
    </w:rPr>
  </w:style>
  <w:style w:type="paragraph" w:styleId="18">
    <w:name w:val="annotation subject"/>
    <w:basedOn w:val="9"/>
    <w:next w:val="9"/>
    <w:link w:val="39"/>
    <w:unhideWhenUsed/>
    <w:qFormat/>
    <w:uiPriority w:val="99"/>
    <w:rPr>
      <w:b/>
      <w:bCs/>
    </w:rPr>
  </w:style>
  <w:style w:type="table" w:styleId="20">
    <w:name w:val="Table Grid"/>
    <w:basedOn w:val="19"/>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page number"/>
    <w:basedOn w:val="21"/>
    <w:semiHidden/>
    <w:qFormat/>
    <w:uiPriority w:val="0"/>
  </w:style>
  <w:style w:type="character" w:styleId="23">
    <w:name w:val="FollowedHyperlink"/>
    <w:semiHidden/>
    <w:qFormat/>
    <w:uiPriority w:val="0"/>
    <w:rPr>
      <w:color w:val="800080"/>
      <w:u w:val="single"/>
    </w:rPr>
  </w:style>
  <w:style w:type="character" w:styleId="24">
    <w:name w:val="Hyperlink"/>
    <w:semiHidden/>
    <w:qFormat/>
    <w:uiPriority w:val="0"/>
    <w:rPr>
      <w:color w:val="0000FF"/>
      <w:u w:val="single"/>
    </w:rPr>
  </w:style>
  <w:style w:type="character" w:styleId="25">
    <w:name w:val="annotation reference"/>
    <w:unhideWhenUsed/>
    <w:qFormat/>
    <w:uiPriority w:val="99"/>
    <w:rPr>
      <w:sz w:val="21"/>
      <w:szCs w:val="21"/>
    </w:rPr>
  </w:style>
  <w:style w:type="character" w:customStyle="1" w:styleId="26">
    <w:name w:val="标题 1 字符"/>
    <w:basedOn w:val="21"/>
    <w:link w:val="2"/>
    <w:qFormat/>
    <w:uiPriority w:val="0"/>
    <w:rPr>
      <w:rFonts w:ascii="Times New Roman" w:hAnsi="Times New Roman" w:eastAsia="宋体" w:cs="Times New Roman"/>
      <w:b/>
      <w:bCs/>
      <w:kern w:val="44"/>
      <w:sz w:val="44"/>
      <w:szCs w:val="44"/>
    </w:rPr>
  </w:style>
  <w:style w:type="character" w:customStyle="1" w:styleId="27">
    <w:name w:val="标题 2 字符"/>
    <w:basedOn w:val="21"/>
    <w:link w:val="3"/>
    <w:qFormat/>
    <w:uiPriority w:val="9"/>
    <w:rPr>
      <w:rFonts w:ascii="Cambria" w:hAnsi="Cambria" w:eastAsia="宋体" w:cs="Times New Roman"/>
      <w:b/>
      <w:bCs/>
      <w:sz w:val="32"/>
      <w:szCs w:val="32"/>
    </w:rPr>
  </w:style>
  <w:style w:type="character" w:customStyle="1" w:styleId="28">
    <w:name w:val="标题 4 字符"/>
    <w:basedOn w:val="21"/>
    <w:link w:val="5"/>
    <w:semiHidden/>
    <w:qFormat/>
    <w:uiPriority w:val="9"/>
    <w:rPr>
      <w:rFonts w:ascii="Cambria" w:hAnsi="Cambria" w:eastAsia="宋体" w:cs="Times New Roman"/>
      <w:b/>
      <w:bCs/>
      <w:sz w:val="28"/>
      <w:szCs w:val="28"/>
    </w:rPr>
  </w:style>
  <w:style w:type="character" w:customStyle="1" w:styleId="29">
    <w:name w:val="标题 5 字符"/>
    <w:basedOn w:val="21"/>
    <w:link w:val="6"/>
    <w:qFormat/>
    <w:uiPriority w:val="0"/>
    <w:rPr>
      <w:rFonts w:ascii="宋体" w:hAnsi="宋体" w:eastAsia="宋体" w:cs="Times New Roman"/>
      <w:kern w:val="0"/>
      <w:sz w:val="24"/>
      <w:szCs w:val="24"/>
      <w:lang w:val="en-GB" w:eastAsia="en-US"/>
    </w:rPr>
  </w:style>
  <w:style w:type="character" w:customStyle="1" w:styleId="30">
    <w:name w:val="标题 6 字符"/>
    <w:basedOn w:val="21"/>
    <w:link w:val="7"/>
    <w:qFormat/>
    <w:uiPriority w:val="0"/>
    <w:rPr>
      <w:rFonts w:ascii="宋体" w:hAnsi="宋体" w:eastAsia="宋体" w:cs="Times New Roman"/>
      <w:kern w:val="0"/>
      <w:sz w:val="24"/>
      <w:szCs w:val="24"/>
      <w:lang w:val="en-GB" w:eastAsia="en-US"/>
    </w:rPr>
  </w:style>
  <w:style w:type="character" w:customStyle="1" w:styleId="31">
    <w:name w:val="标题 9 字符"/>
    <w:basedOn w:val="21"/>
    <w:link w:val="8"/>
    <w:qFormat/>
    <w:uiPriority w:val="0"/>
    <w:rPr>
      <w:rFonts w:ascii="宋体" w:hAnsi="宋体" w:eastAsia="宋体" w:cs="Times New Roman"/>
      <w:kern w:val="0"/>
      <w:sz w:val="24"/>
      <w:szCs w:val="24"/>
      <w:lang w:val="en-GB" w:eastAsia="en-US"/>
    </w:rPr>
  </w:style>
  <w:style w:type="character" w:customStyle="1" w:styleId="32">
    <w:name w:val="正文文本缩进 2 字符"/>
    <w:basedOn w:val="21"/>
    <w:link w:val="12"/>
    <w:semiHidden/>
    <w:qFormat/>
    <w:uiPriority w:val="0"/>
    <w:rPr>
      <w:rFonts w:ascii="Times New Roman" w:hAnsi="Times New Roman" w:eastAsia="宋体" w:cs="Times New Roman"/>
      <w:sz w:val="24"/>
      <w:szCs w:val="24"/>
    </w:rPr>
  </w:style>
  <w:style w:type="character" w:customStyle="1" w:styleId="33">
    <w:name w:val="页眉 字符"/>
    <w:basedOn w:val="21"/>
    <w:link w:val="15"/>
    <w:semiHidden/>
    <w:qFormat/>
    <w:uiPriority w:val="0"/>
    <w:rPr>
      <w:rFonts w:ascii="Times New Roman" w:hAnsi="Times New Roman" w:eastAsia="宋体" w:cs="Times New Roman"/>
      <w:sz w:val="18"/>
      <w:szCs w:val="18"/>
    </w:rPr>
  </w:style>
  <w:style w:type="character" w:customStyle="1" w:styleId="34">
    <w:name w:val="页脚 字符"/>
    <w:basedOn w:val="21"/>
    <w:link w:val="14"/>
    <w:semiHidden/>
    <w:qFormat/>
    <w:uiPriority w:val="0"/>
    <w:rPr>
      <w:rFonts w:ascii="Times New Roman" w:hAnsi="Times New Roman" w:eastAsia="宋体" w:cs="Times New Roman"/>
      <w:sz w:val="18"/>
      <w:szCs w:val="18"/>
    </w:rPr>
  </w:style>
  <w:style w:type="character" w:customStyle="1" w:styleId="35">
    <w:name w:val="批注框文本 字符"/>
    <w:basedOn w:val="21"/>
    <w:link w:val="13"/>
    <w:semiHidden/>
    <w:qFormat/>
    <w:uiPriority w:val="0"/>
    <w:rPr>
      <w:rFonts w:ascii="Times New Roman" w:hAnsi="Times New Roman" w:eastAsia="宋体" w:cs="Times New Roman"/>
      <w:sz w:val="18"/>
      <w:szCs w:val="18"/>
    </w:rPr>
  </w:style>
  <w:style w:type="character" w:customStyle="1" w:styleId="36">
    <w:name w:val="正文文本 字符"/>
    <w:basedOn w:val="21"/>
    <w:link w:val="10"/>
    <w:semiHidden/>
    <w:qFormat/>
    <w:uiPriority w:val="0"/>
    <w:rPr>
      <w:rFonts w:ascii="Times New Roman" w:hAnsi="Times New Roman" w:eastAsia="宋体" w:cs="Times New Roman"/>
      <w:bCs/>
      <w:sz w:val="24"/>
      <w:szCs w:val="24"/>
    </w:rPr>
  </w:style>
  <w:style w:type="paragraph" w:customStyle="1" w:styleId="37">
    <w:name w:val="列表段落1"/>
    <w:basedOn w:val="1"/>
    <w:qFormat/>
    <w:uiPriority w:val="34"/>
    <w:pPr>
      <w:ind w:firstLine="420" w:firstLineChars="200"/>
    </w:pPr>
    <w:rPr>
      <w:rFonts w:ascii="Calibri" w:hAnsi="Calibri"/>
      <w:szCs w:val="22"/>
    </w:rPr>
  </w:style>
  <w:style w:type="character" w:customStyle="1" w:styleId="38">
    <w:name w:val="批注文字 字符"/>
    <w:basedOn w:val="21"/>
    <w:link w:val="9"/>
    <w:semiHidden/>
    <w:qFormat/>
    <w:uiPriority w:val="99"/>
    <w:rPr>
      <w:rFonts w:ascii="Times New Roman" w:hAnsi="Times New Roman" w:eastAsia="宋体" w:cs="Times New Roman"/>
      <w:szCs w:val="24"/>
    </w:rPr>
  </w:style>
  <w:style w:type="character" w:customStyle="1" w:styleId="39">
    <w:name w:val="批注主题 字符"/>
    <w:basedOn w:val="38"/>
    <w:link w:val="18"/>
    <w:semiHidden/>
    <w:qFormat/>
    <w:uiPriority w:val="99"/>
    <w:rPr>
      <w:rFonts w:ascii="Times New Roman" w:hAnsi="Times New Roman" w:eastAsia="宋体" w:cs="Times New Roman"/>
      <w:b/>
      <w:bCs/>
      <w:szCs w:val="24"/>
    </w:rPr>
  </w:style>
  <w:style w:type="character" w:customStyle="1" w:styleId="40">
    <w:name w:val="正文文本缩进 字符"/>
    <w:basedOn w:val="21"/>
    <w:link w:val="11"/>
    <w:semiHidden/>
    <w:qFormat/>
    <w:uiPriority w:val="99"/>
    <w:rPr>
      <w:rFonts w:ascii="Times New Roman" w:hAnsi="Times New Roman" w:eastAsia="宋体" w:cs="Times New Roman"/>
      <w:szCs w:val="24"/>
    </w:rPr>
  </w:style>
  <w:style w:type="paragraph" w:customStyle="1" w:styleId="41">
    <w:name w:val="Background"/>
    <w:basedOn w:val="1"/>
    <w:qFormat/>
    <w:uiPriority w:val="0"/>
    <w:pPr>
      <w:widowControl/>
      <w:autoSpaceDE w:val="0"/>
      <w:autoSpaceDN w:val="0"/>
      <w:spacing w:after="340" w:line="340" w:lineRule="exact"/>
      <w:jc w:val="left"/>
    </w:pPr>
    <w:rPr>
      <w:rFonts w:ascii="宋体" w:hAnsi="宋体"/>
      <w:kern w:val="0"/>
      <w:sz w:val="24"/>
      <w:lang w:val="en-GB" w:eastAsia="en-US"/>
    </w:rPr>
  </w:style>
  <w:style w:type="character" w:customStyle="1" w:styleId="42">
    <w:name w:val="标题 字符"/>
    <w:basedOn w:val="21"/>
    <w:link w:val="17"/>
    <w:qFormat/>
    <w:uiPriority w:val="0"/>
    <w:rPr>
      <w:rFonts w:ascii="宋体" w:hAnsi="宋体" w:eastAsia="宋体" w:cs="Times New Roman"/>
      <w:b/>
      <w:caps/>
      <w:kern w:val="0"/>
      <w:sz w:val="26"/>
      <w:szCs w:val="28"/>
      <w:lang w:val="en-GB" w:eastAsia="en-US"/>
    </w:rPr>
  </w:style>
  <w:style w:type="paragraph" w:customStyle="1" w:styleId="43">
    <w:name w:val="无间隔1"/>
    <w:link w:val="44"/>
    <w:qFormat/>
    <w:uiPriority w:val="1"/>
    <w:rPr>
      <w:rFonts w:ascii="Calibri" w:hAnsi="Calibri" w:eastAsia="宋体" w:cs="Times New Roman"/>
      <w:sz w:val="22"/>
      <w:szCs w:val="22"/>
      <w:lang w:val="en-US" w:eastAsia="zh-CN" w:bidi="ar-SA"/>
    </w:rPr>
  </w:style>
  <w:style w:type="character" w:customStyle="1" w:styleId="44">
    <w:name w:val="无间隔 Char"/>
    <w:link w:val="43"/>
    <w:qFormat/>
    <w:uiPriority w:val="1"/>
    <w:rPr>
      <w:rFonts w:ascii="Calibri" w:hAnsi="Calibri" w:eastAsia="宋体" w:cs="Times New Roman"/>
      <w:kern w:val="0"/>
      <w:sz w:val="22"/>
    </w:rPr>
  </w:style>
  <w:style w:type="table" w:customStyle="1" w:styleId="45">
    <w:name w:val="浅色底纹1"/>
    <w:basedOn w:val="19"/>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21</Pages>
  <Words>8012</Words>
  <Characters>8324</Characters>
  <Lines>71</Lines>
  <Paragraphs>20</Paragraphs>
  <TotalTime>1</TotalTime>
  <ScaleCrop>false</ScaleCrop>
  <LinksUpToDate>false</LinksUpToDate>
  <CharactersWithSpaces>9348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2015-05-18T04:08:00Z</dcterms:created>
  <dc:creator>lenovo</dc:creator>
  <cp:lastModifiedBy>蓝蓝天空</cp:lastModifiedBy>
  <dcterms:modified xsi:type="dcterms:W3CDTF">2023-06-20T09:44:15Z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5448DDF1E3C748B38FB3B708D3F83A21_12</vt:lpwstr>
  </property>
</Properties>
</file>