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56"/>
          <w:szCs w:val="56"/>
        </w:rPr>
        <w:drawing>
          <wp:inline distT="0" distB="0" distL="114300" distR="114300">
            <wp:extent cx="1840865" cy="1094740"/>
            <wp:effectExtent l="0" t="0" r="6985" b="10160"/>
            <wp:docPr id="1" name="图片 1" descr="沂州科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沂州科技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  <w:lang w:val="en-US" w:eastAsia="zh-CN"/>
        </w:rPr>
        <w:t>沂州科技</w:t>
      </w:r>
      <w:r>
        <w:rPr>
          <w:rFonts w:hint="eastAsia"/>
          <w:b/>
          <w:sz w:val="72"/>
          <w:szCs w:val="72"/>
        </w:rPr>
        <w:t>有限公司</w:t>
      </w:r>
    </w:p>
    <w:p>
      <w:pPr>
        <w:jc w:val="center"/>
        <w:rPr>
          <w:rFonts w:hint="eastAsia"/>
          <w:b/>
          <w:sz w:val="40"/>
          <w:szCs w:val="28"/>
        </w:rPr>
      </w:pPr>
    </w:p>
    <w:p>
      <w:pPr>
        <w:jc w:val="center"/>
        <w:rPr>
          <w:rFonts w:hint="eastAsia" w:ascii="隶书" w:eastAsia="隶书" w:cs="Times New Roman"/>
          <w:color w:val="000000"/>
          <w:sz w:val="52"/>
          <w:szCs w:val="52"/>
          <w:lang w:val="en-US" w:eastAsia="zh-CN"/>
        </w:rPr>
      </w:pPr>
      <w:r>
        <w:rPr>
          <w:rFonts w:hint="eastAsia" w:ascii="隶书" w:eastAsia="隶书" w:cs="Times New Roman"/>
          <w:color w:val="000000"/>
          <w:sz w:val="52"/>
          <w:szCs w:val="52"/>
          <w:lang w:val="en-US" w:eastAsia="zh-CN"/>
        </w:rPr>
        <w:t>地下、半地下储罐</w:t>
      </w:r>
    </w:p>
    <w:p>
      <w:pPr>
        <w:jc w:val="center"/>
        <w:rPr>
          <w:rFonts w:hint="default" w:ascii="宋体" w:hAnsi="宋体" w:eastAsia="宋体" w:cs="宋体"/>
          <w:b/>
          <w:sz w:val="36"/>
          <w:szCs w:val="18"/>
          <w:lang w:val="en-US" w:eastAsia="zh-CN"/>
        </w:rPr>
      </w:pPr>
      <w:r>
        <w:rPr>
          <w:rFonts w:hint="eastAsia" w:ascii="隶书" w:eastAsia="隶书" w:cs="Times New Roman"/>
          <w:color w:val="000000"/>
          <w:sz w:val="52"/>
          <w:szCs w:val="52"/>
          <w:lang w:val="en-US" w:eastAsia="zh-CN"/>
        </w:rPr>
        <w:t>腐蚀、泄露检测招标</w:t>
      </w:r>
    </w:p>
    <w:p>
      <w:pPr>
        <w:jc w:val="center"/>
        <w:rPr>
          <w:rFonts w:hint="eastAsia" w:ascii="方正黑体简体" w:eastAsia="方正黑体简体"/>
          <w:sz w:val="86"/>
          <w:szCs w:val="28"/>
          <w:lang w:eastAsia="zh-CN"/>
        </w:rPr>
      </w:pPr>
      <w:r>
        <w:rPr>
          <w:rFonts w:hint="eastAsia" w:ascii="方正黑体简体" w:eastAsia="方正黑体简体"/>
          <w:sz w:val="86"/>
          <w:szCs w:val="28"/>
        </w:rPr>
        <w:t>招标</w:t>
      </w:r>
      <w:r>
        <w:rPr>
          <w:rFonts w:hint="eastAsia" w:ascii="方正黑体简体" w:eastAsia="方正黑体简体"/>
          <w:sz w:val="86"/>
          <w:szCs w:val="28"/>
          <w:lang w:val="en-US" w:eastAsia="zh-CN"/>
        </w:rPr>
        <w:t>公告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ind w:left="1260" w:leftChars="6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项目业主：</w:t>
      </w:r>
      <w:r>
        <w:rPr>
          <w:rFonts w:hint="eastAsia"/>
          <w:sz w:val="28"/>
          <w:szCs w:val="28"/>
          <w:lang w:val="en-US" w:eastAsia="zh-CN"/>
        </w:rPr>
        <w:t>沂州科技有限公司</w:t>
      </w:r>
    </w:p>
    <w:p>
      <w:pPr>
        <w:ind w:left="1260" w:leftChars="600"/>
        <w:jc w:val="both"/>
        <w:rPr>
          <w:rFonts w:hint="default" w:eastAsia="宋体"/>
          <w:sz w:val="28"/>
          <w:szCs w:val="28"/>
          <w:lang w:val="en-US" w:eastAsia="zh-CN"/>
        </w:rPr>
      </w:pPr>
    </w:p>
    <w:p>
      <w:pPr>
        <w:ind w:left="1260" w:leftChars="6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招标</w:t>
      </w:r>
      <w:r>
        <w:rPr>
          <w:rFonts w:hint="eastAsia"/>
          <w:sz w:val="28"/>
          <w:szCs w:val="28"/>
          <w:lang w:eastAsia="zh-CN"/>
        </w:rPr>
        <w:t>方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沂州科技有限公司</w:t>
      </w:r>
    </w:p>
    <w:p>
      <w:pPr>
        <w:ind w:left="1260" w:leftChars="600" w:firstLine="1820" w:firstLineChars="65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left="1260" w:leftChars="600" w:firstLine="1820" w:firstLineChars="650"/>
        <w:rPr>
          <w:rFonts w:hint="eastAsia"/>
          <w:b/>
          <w:sz w:val="50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2023年3月30日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textAlignment w:val="auto"/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>沂州集团位于山东临沂罗庄区，是中国企业500强，中国民营企业100强。是以水泥建材、煤化工、金融、电力、港口运营为一体的多元化大型企业集团。沂州科技有限公司是沂州集团2007年在江苏邳州投资兴建的大型煤化工项目，公司地址坐落在邳州经济开发区炭基新材料产业园区，是中国炼焦行业协会常务理事单位、江苏省高新技术企业、江苏省两化融合试点企业，建设有江苏省省级企业技术中心，是国家二级安全标准化认证单位，通过了清洁生产审核及能源、质量、环境、职业健康管理体系认证，荣获“徐州市工业投资十强”、“江苏省优秀企业”等荣誉称号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textAlignment w:val="auto"/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>根据《江苏省土壤污染防治条例》规定，我公司需对地下、半地下储罐开展腐蚀、泄露检测（储罐明细、检测要求详见附件），现诚邀行业内相关单位报名参标。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>1、拟开标时间及形式：2023年4月12日上午10：00，沂州科技有限公司三楼。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2、报名及对接时间：2023年4月12日上午10：00前。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3、投标方</w:t>
      </w: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的基本资格要求：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3.1</w:t>
      </w: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>具有独立承担民事责任的能力且企业财务状况和市场行为良好；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3.2</w:t>
      </w: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>具有独立法人资格并依法取得营业执照</w:t>
      </w: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3.</w:t>
      </w: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>3具有独立承担民事责任的能力且企业财务状况和市场行为良好；具有独立法人资格并依法取得营业执照、特种设备无损检测机构级别评定证书、特种设备检验检测机构核准证、CMA证书、CNAS证书，且以上证件都处于有效期内；特种设备检验检测机构核准证和CMA附表内容应覆盖检测项目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3.4</w:t>
      </w: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>在参加其他</w:t>
      </w: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业务</w:t>
      </w: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活动中，没有违法记录。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3.5</w:t>
      </w: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具有良好的商业信誉，健全的财务会计制度，财务状况和市场行为良好。没有处于被有权机关吊销营业执照、吊销资质、停业整顿、取消投标资格以及财产被接管或进入破产程序等。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3.6</w:t>
      </w: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>没有处于因违约等原因被</w:t>
      </w: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沂州集团</w:t>
      </w: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停用交易资格的状态。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3.7</w:t>
      </w: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>符合法律、法规规定的其他条件。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4、投标人资格确定：除本公告要求的基本资质外，其它要求请联系公司业务人员。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>招标文件的领取：投标人资格审核合格后，招标方通过邮箱方式发送招标文件。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default" w:eastAsia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5</w:t>
      </w:r>
      <w:r>
        <w:rPr>
          <w:rFonts w:hint="eastAsia" w:eastAsia="宋体"/>
          <w:color w:val="auto"/>
          <w:kern w:val="2"/>
          <w:sz w:val="21"/>
          <w:szCs w:val="21"/>
          <w:highlight w:val="none"/>
          <w:lang w:val="en-US" w:eastAsia="zh-CN" w:bidi="ar-SA"/>
        </w:rPr>
        <w:t>、投标保证金金额：人民币10万元，需银行转账至我公司指定账户，不收取现金，中标单位投标保证金自动转为合同履约金，在合同履行结束后30日内无息返还；未中标单位投标保证金在15日内无息返还投标单位账户</w:t>
      </w: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/>
          <w:color w:val="auto"/>
          <w:kern w:val="2"/>
          <w:sz w:val="21"/>
          <w:szCs w:val="21"/>
          <w:highlight w:val="none"/>
          <w:lang w:val="en-US" w:eastAsia="zh-CN" w:bidi="ar-SA"/>
        </w:rPr>
        <w:t>6、招标主要联系人：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商务</w:t>
      </w:r>
      <w:r>
        <w:rPr>
          <w:rFonts w:hint="eastAsia"/>
          <w:color w:val="auto"/>
          <w:sz w:val="21"/>
          <w:szCs w:val="21"/>
        </w:rPr>
        <w:t>联系人：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姚子宝  15162025731    刘星    13969961048  </w:t>
      </w:r>
      <w:r>
        <w:rPr>
          <w:rFonts w:hint="eastAsia"/>
          <w:color w:val="auto"/>
          <w:sz w:val="24"/>
          <w:lang w:val="en-US" w:eastAsia="zh-CN"/>
        </w:rPr>
        <w:t xml:space="preserve">                 </w:t>
      </w:r>
    </w:p>
    <w:tbl>
      <w:tblPr>
        <w:tblStyle w:val="6"/>
        <w:tblW w:w="10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115"/>
        <w:gridCol w:w="946"/>
        <w:gridCol w:w="1290"/>
        <w:gridCol w:w="1866"/>
        <w:gridCol w:w="966"/>
        <w:gridCol w:w="941"/>
        <w:gridCol w:w="1566"/>
        <w:gridCol w:w="741"/>
        <w:gridCol w:w="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4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地下储罐检测清单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储罐名称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储罐形式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罐体材质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介质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容量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煤气水封罐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2个煤气下液储罐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水、氨水等化学物质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2个煤气水封储罐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煤气预热器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半地下水池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蒸汽、焦炉煤气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5-6m3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煤气水封罐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2个煤气下液储罐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水、氨水等化学物质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2个煤气水封储罐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煤气预热器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半地下水池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蒸汽、焦炉煤气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5-6m3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煤气水封罐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2个煤气下液储罐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水、氨水等化学物质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2个煤气水封储罐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煤气预热器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半地下水池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蒸汽、焦炉煤气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5-6m3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煤气水封罐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2个煤气下液储罐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水、氨水等化学物质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2个煤气水封储罐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地下储罐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造气车间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4#炉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煤气预热器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半地下水池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蒸汽、焦炉煤气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5-6m3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硫膏精制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硫膏精制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粗硫槽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≤10m³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硫膏精制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硫膏精制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助滤槽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≤10m³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硫膏精制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硫膏精制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新废水槽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废水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18.2m³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硫膏精制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硫膏精制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硫膏池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二期脱硫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提盐地池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半地下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脱硫液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≤10m³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二期脱硫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溶碱槽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脱硫液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sz w:val="15"/>
                <w:szCs w:val="15"/>
                <w:lang w:val="en-US" w:eastAsia="zh-CN" w:bidi="ar"/>
              </w:rPr>
              <w:t>10m³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粗苯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二期粗苯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油放空槽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洗油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二期硫铵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地下放空槽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焦油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二期硫铵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母液放空槽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半地下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sz w:val="15"/>
                <w:szCs w:val="15"/>
                <w:lang w:val="en-US" w:eastAsia="zh-CN" w:bidi="ar"/>
              </w:rPr>
              <w:t>316L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北台风机煤气下液水封槽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半地下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氨水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南台风机煤气下液水封槽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半地下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氨水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电捕地下放空槽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氨水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槽区地下放空槽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氨水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一期鼓冷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鼓冷槽区地下放空槽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氨水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一期鼓冷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鼓冷电捕地下放空槽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氨水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一期鼓冷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北台煤气风机下液水封槽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半地下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氨水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一期鼓冷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南台煤气风机下液水份槽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半地下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氨水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一期硫铵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地下放空槽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焦油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一期硫铵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母液放空槽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半地下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sz w:val="15"/>
                <w:szCs w:val="15"/>
                <w:lang w:val="en-US" w:eastAsia="zh-CN" w:bidi="ar"/>
              </w:rPr>
              <w:t>316L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粗苯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一期粗苯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油放空槽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化一车间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一期脱硫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sz w:val="15"/>
                <w:szCs w:val="15"/>
                <w:lang w:val="en-US" w:eastAsia="zh-CN" w:bidi="ar"/>
              </w:rPr>
              <w:t>1#2#溶碱槽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脱硫液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sz w:val="15"/>
                <w:szCs w:val="15"/>
                <w:lang w:val="en-US" w:eastAsia="zh-CN" w:bidi="ar"/>
              </w:rPr>
              <w:t>10m³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化工二车间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一期甲醇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1#气柜西侧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液下池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圆柱形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碳钢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残液、地下水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化工二车间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一期甲醇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精馏一层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精馏地下槽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圆柱形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碳钢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甲醇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化工二车间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一期甲醇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合成一层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合成地下槽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圆柱形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碳钢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甲醇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化工二车间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二期甲醇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2#气柜西侧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液下池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圆柱形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碳钢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残液、地下水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化工二车间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二期甲醇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精馏一层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精馏地下槽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圆柱形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碳钢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甲醇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化工二车间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二期甲醇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合成一层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合成地下槽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圆柱形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碳钢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甲醇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化工三车间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精盐罐区南侧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脱硫液地下放空槽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卧式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脱硫液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9.42m³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化工三车间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精盐罐区南侧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甲醇地下放空槽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卧式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甲醇溶液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9.42m³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化工三车间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硫代硫酸钠溶解釜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立式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硫代硫酸钠溶液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50.87m³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化工三车间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硫代硫酸钠溶解釜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立式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硫代硫酸钠溶液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50.87m³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化工三车间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粗盐溶解釜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立式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粗盐溶解液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32.15m³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化工三车间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粗盐溶解釜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立式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粗盐溶解液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32.15m³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化工三车间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粗盐库房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溶盐槽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立式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溶盐液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50.24m³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危化品库区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综合装车区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酸碱卸车区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液碱地下槽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卧式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液碱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10.6m3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硫酸地下槽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卧式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硫酸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10.6m3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洗油地下槽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卧式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洗油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10.6m3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综合泵房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焦油地下槽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卧式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油、水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10.7m3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粗苯分离槽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卧式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Q235-A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苯、水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10.7m3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tbl>
      <w:tblPr>
        <w:tblStyle w:val="6"/>
        <w:tblW w:w="103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676"/>
        <w:gridCol w:w="5264"/>
        <w:gridCol w:w="2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5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标准要求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收费（元/台）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技术资料</w:t>
            </w:r>
          </w:p>
        </w:tc>
        <w:tc>
          <w:tcPr>
            <w:tcW w:w="5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SHS01012-2004第3.1.1条</w:t>
            </w:r>
          </w:p>
        </w:tc>
        <w:tc>
          <w:tcPr>
            <w:tcW w:w="2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宏观检查</w:t>
            </w:r>
          </w:p>
        </w:tc>
        <w:tc>
          <w:tcPr>
            <w:tcW w:w="5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SHS01012-2004第3.2.1～3.2.5、3.2.7、3.2.13～3.2.14、3.2.16～3.2.17、3.2.20～3.2.30条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容器壁厚</w:t>
            </w:r>
          </w:p>
        </w:tc>
        <w:tc>
          <w:tcPr>
            <w:tcW w:w="5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SHS01012-2004第3.2.10、3.2.11、3.2.15、3.2.18条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无损检测</w:t>
            </w:r>
          </w:p>
        </w:tc>
        <w:tc>
          <w:tcPr>
            <w:tcW w:w="5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SHS01012-2004第3.2.19条、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SH/T3530-2011第13.2条，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厚度减薄位置进行C扫，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NB/T47013.15-2021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导波，漏磁，声发射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NB/T47013.13-2015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NB/T47013.3-2015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基础检查</w:t>
            </w:r>
          </w:p>
        </w:tc>
        <w:tc>
          <w:tcPr>
            <w:tcW w:w="5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SHS01012-2004第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.2.6、3.2.8条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NB/T47013.3-2015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接地电阻</w:t>
            </w:r>
          </w:p>
        </w:tc>
        <w:tc>
          <w:tcPr>
            <w:tcW w:w="5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SHS01012-2004第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.2.9条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阴极保护</w:t>
            </w:r>
          </w:p>
        </w:tc>
        <w:tc>
          <w:tcPr>
            <w:tcW w:w="5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SHS01012-2004第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.2.12条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</w:t>
            </w:r>
          </w:p>
        </w:tc>
        <w:tc>
          <w:tcPr>
            <w:tcW w:w="5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SHS01012-2004第5.1.5、5.1.6条、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附录B、附录D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SHS07001～9-2004</w:t>
            </w:r>
          </w:p>
        </w:tc>
        <w:tc>
          <w:tcPr>
            <w:tcW w:w="2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WNmNzYzN2U1YjY0ZGIyNDM2MDMwMGVhNjE3MDkifQ=="/>
  </w:docVars>
  <w:rsids>
    <w:rsidRoot w:val="1F64218A"/>
    <w:rsid w:val="1F64218A"/>
    <w:rsid w:val="5AC6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ordWrap w:val="0"/>
      <w:spacing w:after="160"/>
      <w:ind w:left="1400" w:hanging="400"/>
      <w:outlineLvl w:val="2"/>
    </w:p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D3D3D"/>
      <w:kern w:val="0"/>
      <w:sz w:val="24"/>
      <w:lang w:val="en-US" w:eastAsia="zh-CN" w:bidi="ar-SA"/>
    </w:rPr>
  </w:style>
  <w:style w:type="character" w:customStyle="1" w:styleId="8">
    <w:name w:val="font2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2562</Words>
  <Characters>3275</Characters>
  <Lines>0</Lines>
  <Paragraphs>0</Paragraphs>
  <TotalTime>2</TotalTime>
  <ScaleCrop>false</ScaleCrop>
  <LinksUpToDate>false</LinksUpToDate>
  <CharactersWithSpaces>3353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2023-03-30T06:59:00Z</dcterms:created>
  <dc:creator>1</dc:creator>
  <cp:lastModifiedBy>1</cp:lastModifiedBy>
  <dcterms:modified xsi:type="dcterms:W3CDTF">2023-03-30T07:31:28Z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1C7374DFAB4E4A18B4A63699267186AD</vt:lpwstr>
  </property>
</Properties>
</file>