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21"/>
          <w:szCs w:val="21"/>
          <w:shd w:val="clear" w:fill="FFFFFF"/>
        </w:rPr>
        <w:t>新丽华色材有限责任公司成立于1984年，是全球镜背涂料，玻璃涂料的供应商。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21"/>
          <w:szCs w:val="21"/>
          <w:shd w:val="clear" w:fill="FFFFFF"/>
        </w:rPr>
        <w:t>30多年以来，受益于对研发的大力投入，我们的研究成果正持续转化为大量的专利和新技术。这使我们和我们的客户一直处于行业的前沿——不仅是生产过程的优化和生产成本的降低，还在于更高质量的产品。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MDdjMGRlZDQxYWM1MmE1NjU5NGYzNjQ4M2U1NTcifQ=="/>
  </w:docVars>
  <w:rsids>
    <w:rsidRoot w:val="00000000"/>
    <w:rsid w:val="7DE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2022-08-25T09:27:08Z</dcterms:created>
  <dc:creator>weishiyan</dc:creator>
  <cp:lastModifiedBy>weishiyan</cp:lastModifiedBy>
  <dcterms:modified xsi:type="dcterms:W3CDTF">2022-08-25T09:27:56Z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899930B431E04B3DA38F4506E89F0AD5</vt:lpwstr>
  </property>
</Properties>
</file>