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360"/>
        <w:rPr>
          <w:sz w:val="18"/>
          <w:szCs w:val="18"/>
        </w:rPr>
      </w:pPr>
      <w:r>
        <w:rPr>
          <w:sz w:val="18"/>
          <w:szCs w:val="18"/>
        </w:rPr>
        <w:t>公司不仅为用户提供中高端制造业的精细磨料和精密磨具制品，还特别注重技术创新，组建有特殊粉体处理、流体磨具和软磨具专业实验室，致力于为用户提供面向应用的整体技术解决方案。为实现这一- 目标，公司组建了企业研发中心，培养了一支精干的技术研发队伍，不断开发新产品、新工艺，技术研发人员占公司总人数的30%以上;公司先后承担建设了“河南省纳米金刚石粉体材料工程技术研究中心”和“河南省超精密研磨抛光材料及应用技术工程实验室"等系列创新平台，为公司新产品研发和技术创新打下坚实基础;同时，公司积极开展对外合作，与中科院、天津大学、郑州大学、河南工业大学等科研院所及高校建立了长期的产学研合作关系。</w:t>
      </w:r>
    </w:p>
    <w:p>
      <w:pPr>
        <w:pStyle w:val="2"/>
        <w:keepNext w:val="0"/>
        <w:keepLines w:val="0"/>
        <w:widowControl/>
        <w:suppressLineNumbers w:val="0"/>
        <w:ind w:firstLine="360"/>
      </w:pPr>
      <w:r>
        <w:rPr>
          <w:sz w:val="18"/>
          <w:szCs w:val="18"/>
        </w:rPr>
        <w:t>　　行业的发展离不开技术创新，本着“求实、创新、卓越”的理念，我们先后攻克了纳米金刚石的解团聚、分散、分级，金刚石微粉的高效定向破碎、原位整形、自动分级、彻底去除大颗粒、超纯净处理、表面改性，以及细颗粒金刚石的合成、提纯、分选等技术难题，取得1 1项发明专利和多项实用新型专利，推动了金刚石在多种高端领域的应用。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MGI5MWM4Nzk0ZGY0MmM5N2VjODAxNzY3MzU4MjcifQ=="/>
  </w:docVars>
  <w:rsids>
    <w:rsidRoot w:val="00000000"/>
    <w:rsid w:val="7C5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2022-08-24T02:33:07Z</dcterms:created>
  <dc:creator>Administrator.BF-20180530VQEP</dc:creator>
  <cp:lastModifiedBy>远程式</cp:lastModifiedBy>
  <dcterms:modified xsi:type="dcterms:W3CDTF">2022-08-24T02:33:21Z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7688C8D1A902445CB76A6991EF3F8A2F</vt:lpwstr>
  </property>
</Properties>
</file>