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安全生产公益广告《防风险除隐患遏事故》</w:t>
      </w:r>
    </w:p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播放计划统计表（样表）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填报单位（公章）                                     填报日期：      年     月     日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播放媒体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播放时间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播放频次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播放次数合计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辽宁工程咨询集团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集团网站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集团微信工作群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集团QQ工作群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咨询中心公司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公司电子屏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公司微信公众号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咨询中心公司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公司网站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工程招标公司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公司电子屏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公司微信公众号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公司网站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科发实业公司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公司电子屏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公司微信公众号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科发实业公司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公司网站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咨发造价公司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公司电子屏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公司微信公众号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咨发监理公司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公司网站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公司电子屏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公司微信公众号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咨发监理公司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大连成套公司</w:t>
            </w: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公司网站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公司电子屏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公司微信公众号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公司微信工作群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公司QQ工作群</w:t>
            </w:r>
          </w:p>
        </w:tc>
        <w:tc>
          <w:tcPr>
            <w:tcW w:w="2835" w:type="dxa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日至 月 日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次/天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次</w:t>
            </w:r>
          </w:p>
        </w:tc>
      </w:tr>
    </w:tbl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填报人：                             联系电话：</w:t>
      </w:r>
    </w:p>
    <w:p>
      <w:pPr>
        <w:ind w:left="900" w:hanging="900" w:hangingChars="300"/>
      </w:pPr>
      <w:r>
        <w:rPr>
          <w:rFonts w:hint="eastAsia" w:ascii="仿宋" w:hAnsi="仿宋" w:eastAsia="仿宋"/>
          <w:sz w:val="30"/>
          <w:szCs w:val="30"/>
        </w:rPr>
        <w:t>备注：选播公益广告《红线》《安全生产：幸福篇》《拒做“低头族”平安伴我行》《生命不能重来》《加强应急管理提高救援能力》《我的守护 你的平安》播放计划统计表比照本表，单独报送。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1747"/>
    <w:rsid w:val="53D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color w:val="333333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2019-06-26T05:20:00Z</dcterms:created>
  <dc:creator>集团办公室</dc:creator>
  <cp:lastModifiedBy>集团办公室</cp:lastModifiedBy>
  <dcterms:modified xsi:type="dcterms:W3CDTF">2019-06-26T05:21:02Z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