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00" w:firstLineChars="500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黑体" w:eastAsia="黑体" w:cs="Times New Roman"/>
          <w:sz w:val="44"/>
          <w:szCs w:val="44"/>
        </w:rPr>
        <w:t>化学安全技术说明书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产品名称：</w:t>
      </w:r>
      <w:r>
        <w:rPr>
          <w:rFonts w:hint="eastAsia" w:ascii="Times New Roman" w:hAnsi="Times New Roman" w:eastAsia="黑体" w:cs="Times New Roman"/>
          <w:sz w:val="24"/>
          <w:szCs w:val="24"/>
        </w:rPr>
        <w:t>间甲基肉桂酸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 xml:space="preserve">                  </w:t>
      </w:r>
      <w:r>
        <w:rPr>
          <w:rFonts w:ascii="Times New Roman" w:hAnsi="Times New Roman" w:eastAsia="黑体" w:cs="Times New Roman"/>
          <w:sz w:val="24"/>
          <w:szCs w:val="24"/>
        </w:rPr>
        <w:t>按照GB/T16483、GB/T17519编制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修订日期：201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黑体" w:cs="Times New Roman"/>
          <w:sz w:val="24"/>
          <w:szCs w:val="24"/>
        </w:rPr>
        <w:t>年0</w:t>
      </w:r>
      <w:r>
        <w:rPr>
          <w:rFonts w:hint="eastAsia" w:ascii="Times New Roman" w:hAnsi="Times New Roman" w:eastAsia="黑体" w:cs="Times New Roman"/>
          <w:sz w:val="24"/>
          <w:szCs w:val="24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月02日             最初编制日期：201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7</w:t>
      </w:r>
      <w:r>
        <w:rPr>
          <w:rFonts w:ascii="Times New Roman" w:hAnsi="Times New Roman" w:eastAsia="黑体" w:cs="Times New Roman"/>
          <w:sz w:val="24"/>
          <w:szCs w:val="24"/>
        </w:rPr>
        <w:t>年</w:t>
      </w:r>
      <w:r>
        <w:rPr>
          <w:rFonts w:hint="eastAsia" w:ascii="Times New Roman" w:hAnsi="Times New Roman" w:eastAsia="黑体" w:cs="Times New Roman"/>
          <w:sz w:val="24"/>
          <w:szCs w:val="24"/>
        </w:rPr>
        <w:t>8</w:t>
      </w:r>
      <w:r>
        <w:rPr>
          <w:rFonts w:ascii="Times New Roman" w:hAnsi="Times New Roman" w:eastAsia="黑体" w:cs="Times New Roman"/>
          <w:sz w:val="24"/>
          <w:szCs w:val="24"/>
        </w:rPr>
        <w:t>月02日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版本：1.0</w:t>
      </w: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第1部分 </w:t>
      </w:r>
      <w:r>
        <w:rPr>
          <w:rFonts w:ascii="Times New Roman" w:hAnsi="Times New Roman" w:eastAsia="黑体" w:cs="Times New Roman"/>
          <w:sz w:val="32"/>
          <w:szCs w:val="32"/>
        </w:rPr>
        <w:t>化学品及企业标识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化学品中文名：间甲基肉桂酸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化学品英文名：3-METHYLCINNAMIC ACID</w:t>
      </w:r>
      <w:bookmarkStart w:id="2" w:name="_GoBack"/>
      <w:bookmarkEnd w:id="2"/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企业名称：武汉能迈科实业有限公司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企业地址：武汉市江岸区塔子湖东路18号</w:t>
      </w:r>
    </w:p>
    <w:p>
      <w:pPr>
        <w:spacing w:line="360" w:lineRule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联系电话：027-83916065</w:t>
      </w:r>
    </w:p>
    <w:p>
      <w:pPr>
        <w:ind w:firstLine="2400" w:firstLineChars="750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第2部分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危险性概述</w:t>
      </w:r>
    </w:p>
    <w:p>
      <w:pPr>
        <w:pStyle w:val="3"/>
        <w:spacing w:line="258" w:lineRule="exact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GHS分类</w:t>
      </w:r>
    </w:p>
    <w:p>
      <w:pPr>
        <w:tabs>
          <w:tab w:val="left" w:pos="5331"/>
        </w:tabs>
        <w:spacing w:before="0" w:line="259" w:lineRule="exact"/>
        <w:ind w:right="0" w:firstLine="480" w:firstLineChars="2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物理性危害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未分类</w:t>
      </w:r>
    </w:p>
    <w:p>
      <w:pPr>
        <w:pStyle w:val="3"/>
        <w:ind w:left="0" w:leftChars="0" w:firstLine="480" w:firstLineChars="2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健康危害</w:t>
      </w:r>
    </w:p>
    <w:p>
      <w:pPr>
        <w:tabs>
          <w:tab w:val="left" w:pos="4304"/>
        </w:tabs>
        <w:spacing w:before="0" w:line="259" w:lineRule="exact"/>
        <w:ind w:left="0" w:right="4816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皮肤腐蚀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刺激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 w:val="0"/>
          <w:spacing w:val="-1"/>
          <w:w w:val="95"/>
          <w:sz w:val="24"/>
          <w:szCs w:val="24"/>
        </w:rPr>
        <w:t>第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2级</w:t>
      </w:r>
    </w:p>
    <w:p>
      <w:pPr>
        <w:tabs>
          <w:tab w:val="left" w:pos="4304"/>
        </w:tabs>
        <w:spacing w:before="0" w:line="259" w:lineRule="exact"/>
        <w:ind w:left="0" w:right="4883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严重损伤/刺激眼睛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 w:val="0"/>
          <w:bCs w:val="0"/>
          <w:spacing w:val="-1"/>
          <w:w w:val="95"/>
          <w:sz w:val="24"/>
          <w:szCs w:val="24"/>
        </w:rPr>
        <w:t>2A类</w:t>
      </w:r>
    </w:p>
    <w:p>
      <w:pPr>
        <w:tabs>
          <w:tab w:val="left" w:pos="4815"/>
        </w:tabs>
        <w:spacing w:before="0" w:line="259" w:lineRule="exact"/>
        <w:ind w:left="0" w:right="4726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环境危害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未分类</w:t>
      </w:r>
    </w:p>
    <w:p>
      <w:pPr>
        <w:pStyle w:val="3"/>
        <w:ind w:left="0" w:leftChars="0" w:firstLine="0" w:firstLineChars="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GHS标签元素</w:t>
      </w:r>
    </w:p>
    <w:p>
      <w:pPr>
        <w:spacing w:before="0" w:line="313" w:lineRule="exact"/>
        <w:ind w:right="0" w:firstLine="480" w:firstLineChars="2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图标或危害标志</w:t>
      </w:r>
    </w:p>
    <w:p>
      <w:pPr>
        <w:pStyle w:val="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drawing>
          <wp:anchor distT="0" distB="0" distL="0" distR="0" simplePos="0" relativeHeight="251463680" behindDoc="1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30480</wp:posOffset>
            </wp:positionV>
            <wp:extent cx="733425" cy="7315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620" cy="731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7"/>
        <w:spacing w:before="1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tabs>
          <w:tab w:val="left" w:pos="5331"/>
        </w:tabs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tabs>
          <w:tab w:val="left" w:pos="5331"/>
        </w:tabs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tabs>
          <w:tab w:val="left" w:pos="5331"/>
        </w:tabs>
        <w:spacing w:before="0" w:line="313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信号词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警告</w:t>
      </w:r>
    </w:p>
    <w:p>
      <w:pPr>
        <w:tabs>
          <w:tab w:val="left" w:pos="5331"/>
        </w:tabs>
        <w:spacing w:before="0" w:line="259" w:lineRule="exact"/>
        <w:ind w:left="516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危险描述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造成皮肤刺激</w:t>
      </w:r>
    </w:p>
    <w:p>
      <w:pPr>
        <w:pStyle w:val="7"/>
        <w:spacing w:line="257" w:lineRule="exact"/>
        <w:ind w:left="1832" w:right="430"/>
        <w:jc w:val="center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 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造成严重眼刺激</w:t>
      </w:r>
    </w:p>
    <w:p>
      <w:pPr>
        <w:pStyle w:val="3"/>
        <w:spacing w:line="261" w:lineRule="exact"/>
        <w:ind w:left="51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防范说明</w:t>
      </w:r>
    </w:p>
    <w:p>
      <w:pPr>
        <w:pStyle w:val="7"/>
        <w:tabs>
          <w:tab w:val="left" w:pos="3246"/>
        </w:tabs>
        <w:spacing w:before="25" w:line="168" w:lineRule="auto"/>
        <w:ind w:left="3246" w:right="5214" w:hanging="233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[预防]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作业后彻底洗手和洗脸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戴防护手套、眼部防护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</w:p>
    <w:p>
      <w:pPr>
        <w:pStyle w:val="7"/>
        <w:tabs>
          <w:tab w:val="left" w:pos="3246"/>
        </w:tabs>
        <w:spacing w:before="3" w:line="168" w:lineRule="auto"/>
        <w:ind w:left="3246" w:right="220" w:hanging="2336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[急救措施]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如果皮肤沾染：用大量水冲洗。如果发生皮肤刺激：求医或就诊。脱掉受沾染的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衣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物，且清洗后方能再次使用。</w:t>
      </w:r>
    </w:p>
    <w:p>
      <w:pPr>
        <w:pStyle w:val="7"/>
        <w:spacing w:before="3" w:line="168" w:lineRule="auto"/>
        <w:ind w:right="17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如果进入眼睛：用水小心冲洗几分钟。如果戴有隐形眼镜且可方便取出，取出隐形眼镜。继续冲洗。如果眼睛刺激持续：求医或就诊。</w:t>
      </w: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第3部分 成分/组成信息</w:t>
      </w:r>
    </w:p>
    <w:p>
      <w:pPr>
        <w:tabs>
          <w:tab w:val="left" w:pos="3244"/>
        </w:tabs>
        <w:spacing w:before="0" w:line="258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单一物质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混合物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单一物质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化学名(中文名)：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3-甲基肉桂酸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百分比：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&gt;98.0%(T)</w:t>
      </w:r>
    </w:p>
    <w:p>
      <w:pPr>
        <w:tabs>
          <w:tab w:val="right" w:pos="4155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CAS</w:t>
      </w: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RN</w:t>
      </w:r>
      <w:r>
        <w:rPr>
          <w:rFonts w:hint="eastAsia" w:ascii="黑体" w:hAnsi="黑体" w:eastAsia="黑体" w:cs="黑体"/>
          <w:b w:val="0"/>
          <w:bCs w:val="0"/>
          <w:spacing w:val="-3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  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3029-79-6</w:t>
      </w:r>
    </w:p>
    <w:p>
      <w:pPr>
        <w:tabs>
          <w:tab w:val="left" w:pos="3244"/>
        </w:tabs>
        <w:spacing w:before="0" w:line="313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分子式：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C10H10O2</w:t>
      </w:r>
    </w:p>
    <w:p>
      <w:pPr>
        <w:tabs>
          <w:tab w:val="left" w:pos="3244"/>
        </w:tabs>
        <w:spacing w:before="0" w:line="313" w:lineRule="exact"/>
        <w:ind w:right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第4部分 急救措施</w:t>
      </w:r>
    </w:p>
    <w:p>
      <w:pPr>
        <w:pStyle w:val="7"/>
        <w:tabs>
          <w:tab w:val="left" w:pos="3244"/>
        </w:tabs>
        <w:spacing w:line="261" w:lineRule="exact"/>
        <w:ind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吸入：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将受害者移到新鲜空气处，保持呼吸通畅，休息。若感不适请求医/就诊。</w:t>
      </w:r>
    </w:p>
    <w:p>
      <w:pPr>
        <w:pStyle w:val="7"/>
        <w:tabs>
          <w:tab w:val="left" w:pos="3244"/>
        </w:tabs>
        <w:spacing w:before="25" w:line="168" w:lineRule="auto"/>
        <w:ind w:right="2163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皮肤接触：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立即去除/脱掉所有被污染的衣物。用大量肥皂和水轻轻洗</w:t>
      </w:r>
      <w:r>
        <w:rPr>
          <w:rFonts w:hint="eastAsia" w:ascii="黑体" w:hAnsi="黑体" w:eastAsia="黑体" w:cs="黑体"/>
          <w:b w:val="0"/>
          <w:bCs w:val="0"/>
          <w:spacing w:val="-17"/>
          <w:w w:val="95"/>
          <w:sz w:val="24"/>
          <w:szCs w:val="24"/>
        </w:rPr>
        <w:t xml:space="preserve">。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若皮肤刺激或发生皮疹：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医/就诊。</w:t>
      </w:r>
    </w:p>
    <w:p>
      <w:pPr>
        <w:pStyle w:val="7"/>
        <w:tabs>
          <w:tab w:val="left" w:pos="3244"/>
        </w:tabs>
        <w:spacing w:before="3" w:line="168" w:lineRule="auto"/>
        <w:ind w:right="1221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眼睛接触：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用水小心清洗几分钟。如果方便，易操作，摘除隐形眼镜。继续清洗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如果眼睛刺激：求医/就诊。</w:t>
      </w:r>
    </w:p>
    <w:p>
      <w:pPr>
        <w:tabs>
          <w:tab w:val="left" w:pos="3244"/>
        </w:tabs>
        <w:spacing w:before="0" w:line="291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食入：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若感不适，求医/就诊。漱口。</w:t>
      </w:r>
    </w:p>
    <w:p>
      <w:pPr>
        <w:tabs>
          <w:tab w:val="left" w:pos="3244"/>
        </w:tabs>
        <w:spacing w:before="150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紧急救助者的防护：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救援者需要穿戴个人防护用品，比如橡胶手套和气密性护目镜。</w:t>
      </w:r>
    </w:p>
    <w:p>
      <w:pPr>
        <w:tabs>
          <w:tab w:val="left" w:pos="3244"/>
        </w:tabs>
        <w:spacing w:before="150"/>
        <w:ind w:right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第5部分 消防措施</w:t>
      </w:r>
    </w:p>
    <w:p>
      <w:pPr>
        <w:tabs>
          <w:tab w:val="left" w:pos="3244"/>
        </w:tabs>
        <w:spacing w:before="0" w:line="258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合适的灭火剂：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干粉，泡沫，雾状水，二氧化碳</w:t>
      </w:r>
    </w:p>
    <w:p>
      <w:pPr>
        <w:pStyle w:val="7"/>
        <w:tabs>
          <w:tab w:val="left" w:pos="3244"/>
        </w:tabs>
        <w:spacing w:before="25" w:line="168" w:lineRule="auto"/>
        <w:ind w:right="2819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特定方法：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从上风处灭火，根据周围环境选择合适的灭火方法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非相关人员应该撤离至安全地方。</w:t>
      </w:r>
    </w:p>
    <w:p>
      <w:pPr>
        <w:pStyle w:val="7"/>
        <w:spacing w:line="237" w:lineRule="exact"/>
        <w:ind w:left="3244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周围一旦着火：如果安全，移去可移动容器。</w:t>
      </w:r>
    </w:p>
    <w:p>
      <w:pPr>
        <w:tabs>
          <w:tab w:val="left" w:pos="3244"/>
        </w:tabs>
        <w:spacing w:before="0" w:line="313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消防员的特殊防护用具：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灭火时，一定要穿戴个人防护用品。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第6部分 泄漏应急处理</w:t>
      </w:r>
    </w:p>
    <w:p>
      <w:pPr>
        <w:pStyle w:val="3"/>
        <w:spacing w:before="27" w:line="168" w:lineRule="auto"/>
        <w:ind w:left="0" w:leftChars="0" w:firstLine="236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2"/>
          <w:sz w:val="24"/>
          <w:szCs w:val="24"/>
        </w:rPr>
        <w:t xml:space="preserve">个人防护措施，防护用具，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紧急措施：</w:t>
      </w:r>
    </w:p>
    <w:p>
      <w:pPr>
        <w:pStyle w:val="7"/>
        <w:spacing w:before="27" w:line="168" w:lineRule="auto"/>
        <w:ind w:right="256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使用个人防护用品。远离溢出物/</w:t>
      </w:r>
      <w:r>
        <w:rPr>
          <w:rFonts w:hint="eastAsia" w:ascii="黑体" w:hAnsi="黑体" w:eastAsia="黑体" w:cs="黑体"/>
          <w:b w:val="0"/>
          <w:bCs w:val="0"/>
          <w:spacing w:val="-2"/>
          <w:w w:val="95"/>
          <w:sz w:val="24"/>
          <w:szCs w:val="24"/>
        </w:rPr>
        <w:t xml:space="preserve">泄露处并处在上风处。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泄露区应该用安全带等圈起来，控制非相关人员进入。</w:t>
      </w:r>
    </w:p>
    <w:p>
      <w:pPr>
        <w:tabs>
          <w:tab w:val="left" w:pos="3244"/>
        </w:tabs>
        <w:spacing w:before="0" w:line="237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环保措施：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防止进入下水道。</w:t>
      </w:r>
    </w:p>
    <w:p>
      <w:pPr>
        <w:tabs>
          <w:tab w:val="left" w:pos="3244"/>
        </w:tabs>
        <w:spacing w:before="25" w:line="168" w:lineRule="auto"/>
        <w:ind w:right="222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控制和清洗的方法和材料：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清扫收集粉尘，封入密闭容器。注意切勿分散。附着物或收集物应该立即根据合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的法律法规处置。</w:t>
      </w:r>
    </w:p>
    <w:p>
      <w:pPr>
        <w:pStyle w:val="7"/>
        <w:spacing w:before="2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第7部分 操作处置与储存</w:t>
      </w:r>
    </w:p>
    <w:p>
      <w:pPr>
        <w:spacing w:before="0" w:line="256" w:lineRule="exact"/>
        <w:ind w:right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>处理</w:t>
      </w:r>
    </w:p>
    <w:p>
      <w:pPr>
        <w:pStyle w:val="7"/>
        <w:tabs>
          <w:tab w:val="left" w:pos="3244"/>
        </w:tabs>
        <w:spacing w:before="28" w:line="168" w:lineRule="auto"/>
        <w:ind w:right="222" w:firstLine="960" w:firstLineChars="4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技术措施：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在通风良好处进行处理。穿戴合适的防护用具。防止粉尘扩散。处理后彻底清洗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手和脸。</w:t>
      </w:r>
    </w:p>
    <w:p>
      <w:pPr>
        <w:tabs>
          <w:tab w:val="left" w:pos="3244"/>
        </w:tabs>
        <w:spacing w:before="0" w:line="237" w:lineRule="exact"/>
        <w:ind w:right="0" w:firstLine="960" w:firstLineChars="4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注意事项：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如果粉尘或浮质产生，使用局部排气。</w:t>
      </w:r>
    </w:p>
    <w:p>
      <w:pPr>
        <w:tabs>
          <w:tab w:val="left" w:pos="3244"/>
        </w:tabs>
        <w:spacing w:before="0" w:line="259" w:lineRule="exact"/>
        <w:ind w:right="0" w:firstLine="960" w:firstLineChars="4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操作处置注意事项：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避免接触皮肤、眼睛和衣物。</w:t>
      </w:r>
    </w:p>
    <w:p>
      <w:pPr>
        <w:spacing w:before="0" w:line="259" w:lineRule="exact"/>
        <w:ind w:right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u w:val="single"/>
        </w:rPr>
        <w:t>贮存</w:t>
      </w:r>
    </w:p>
    <w:p>
      <w:pPr>
        <w:pStyle w:val="7"/>
        <w:tabs>
          <w:tab w:val="left" w:pos="3244"/>
        </w:tabs>
        <w:spacing w:before="25" w:line="168" w:lineRule="auto"/>
        <w:ind w:left="3181" w:leftChars="429" w:right="4017" w:hanging="2280" w:hangingChars="95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储存条件：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保持容器密闭。存放于凉爽、阴暗处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。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远离不相容的材料比如氧化剂存放。</w:t>
      </w:r>
    </w:p>
    <w:p>
      <w:pPr>
        <w:tabs>
          <w:tab w:val="left" w:pos="3244"/>
        </w:tabs>
        <w:spacing w:before="0" w:line="291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包装材料：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依据法律。</w:t>
      </w:r>
    </w:p>
    <w:p>
      <w:pPr>
        <w:tabs>
          <w:tab w:val="left" w:pos="3244"/>
        </w:tabs>
        <w:spacing w:before="0" w:line="291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第8部分 接触控制和个体防护</w:t>
      </w:r>
    </w:p>
    <w:p>
      <w:pPr>
        <w:pStyle w:val="7"/>
        <w:tabs>
          <w:tab w:val="left" w:pos="3244"/>
        </w:tabs>
        <w:spacing w:before="24" w:line="168" w:lineRule="auto"/>
        <w:ind w:left="3244" w:right="222" w:hanging="281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工程控制：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尽可能安装封闭体系或局部排风系统，操作人员切勿直接接触。同时安装淋浴器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和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洗眼器。</w:t>
      </w:r>
    </w:p>
    <w:p>
      <w:pPr>
        <w:pStyle w:val="3"/>
        <w:spacing w:line="237" w:lineRule="exact"/>
        <w:ind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个人防护用品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呼吸系统防护：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防尘面具。依据当地和政府法规。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手部防护：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防护手套。</w:t>
      </w:r>
    </w:p>
    <w:p>
      <w:pPr>
        <w:tabs>
          <w:tab w:val="left" w:pos="3244"/>
        </w:tabs>
        <w:spacing w:before="0" w:line="259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眼睛防护：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安全防护镜。如果情况需要，佩戴面具。</w:t>
      </w:r>
    </w:p>
    <w:p>
      <w:pPr>
        <w:tabs>
          <w:tab w:val="left" w:pos="3244"/>
        </w:tabs>
        <w:spacing w:before="0" w:line="313" w:lineRule="exact"/>
        <w:ind w:left="6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皮肤和身体防护：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防护服。如果情况需要，穿戴防护靴。</w:t>
      </w:r>
    </w:p>
    <w:p>
      <w:pPr>
        <w:pStyle w:val="7"/>
        <w:spacing w:before="1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第9部分 理化特性</w:t>
      </w:r>
    </w:p>
    <w:p>
      <w:pPr>
        <w:pStyle w:val="3"/>
        <w:tabs>
          <w:tab w:val="left" w:pos="3244"/>
        </w:tabs>
        <w:spacing w:line="261" w:lineRule="exact"/>
        <w:ind w:left="0" w:leftChars="0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外形(20° </w:t>
      </w:r>
      <w:r>
        <w:rPr>
          <w:rFonts w:hint="eastAsia" w:ascii="黑体" w:hAnsi="黑体" w:eastAsia="黑体" w:cs="黑体"/>
          <w:b w:val="0"/>
          <w:bCs w:val="0"/>
          <w:spacing w:val="14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固体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外观：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晶体</w:t>
      </w:r>
      <w:r>
        <w:rPr>
          <w:rFonts w:hint="eastAsia" w:ascii="黑体" w:hAnsi="黑体" w:eastAsia="黑体" w:cs="黑体"/>
          <w:b w:val="0"/>
          <w:bCs w:val="0"/>
          <w:spacing w:val="1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-粉末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颜色：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白色</w:t>
      </w:r>
      <w:r>
        <w:rPr>
          <w:rFonts w:hint="eastAsia" w:ascii="黑体" w:hAnsi="黑体" w:eastAsia="黑体" w:cs="黑体"/>
          <w:b w:val="0"/>
          <w:bCs w:val="0"/>
          <w:spacing w:val="1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类白色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气味：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pH: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无数据资料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熔点：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116°</w:t>
      </w:r>
      <w:r>
        <w:rPr>
          <w:rFonts w:hint="eastAsia" w:ascii="黑体" w:hAnsi="黑体" w:eastAsia="黑体" w:cs="黑体"/>
          <w:b w:val="0"/>
          <w:bCs w:val="0"/>
          <w:spacing w:val="12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沸点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沸程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闪点：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ind w:left="0" w:leftChars="0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爆炸特性</w:t>
      </w:r>
    </w:p>
    <w:p>
      <w:pPr>
        <w:tabs>
          <w:tab w:val="left" w:pos="2415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爆炸下限：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2415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爆炸上限：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  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2810"/>
        </w:tabs>
        <w:spacing w:before="0" w:line="259" w:lineRule="exact"/>
        <w:ind w:left="0" w:right="6814" w:firstLine="0"/>
        <w:jc w:val="righ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密度：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ind w:left="0" w:leftChars="0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溶解度：</w:t>
      </w:r>
    </w:p>
    <w:p>
      <w:pPr>
        <w:tabs>
          <w:tab w:val="left" w:pos="3244"/>
        </w:tabs>
        <w:spacing w:before="0" w:line="259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[水]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[其他溶剂]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第10部分 稳定性和反应性</w:t>
      </w:r>
    </w:p>
    <w:p>
      <w:pPr>
        <w:tabs>
          <w:tab w:val="left" w:pos="3244"/>
        </w:tabs>
        <w:spacing w:before="0" w:line="258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化学稳定性：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一般情况下稳定。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危险反应的可能性：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未报道特殊反应性。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须避免接触的物质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氧化剂</w:t>
      </w:r>
    </w:p>
    <w:p>
      <w:pPr>
        <w:tabs>
          <w:tab w:val="left" w:pos="3244"/>
        </w:tabs>
        <w:spacing w:before="0" w:line="313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危险的分解产物: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二氧化碳,</w:t>
      </w:r>
      <w:r>
        <w:rPr>
          <w:rFonts w:hint="eastAsia" w:ascii="黑体" w:hAnsi="黑体" w:eastAsia="黑体" w:cs="黑体"/>
          <w:b w:val="0"/>
          <w:bCs w:val="0"/>
          <w:spacing w:val="3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一氧化碳</w:t>
      </w:r>
    </w:p>
    <w:p>
      <w:pPr>
        <w:pStyle w:val="2"/>
        <w:numPr>
          <w:ilvl w:val="0"/>
          <w:numId w:val="0"/>
        </w:numPr>
        <w:tabs>
          <w:tab w:val="left" w:pos="538"/>
        </w:tabs>
        <w:spacing w:before="142" w:after="0" w:line="349" w:lineRule="exact"/>
        <w:ind w:left="120" w:leftChars="0" w:right="0" w:rightChars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 xml:space="preserve">第11部分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毒理学信息</w:t>
      </w:r>
    </w:p>
    <w:p>
      <w:pPr>
        <w:tabs>
          <w:tab w:val="left" w:pos="3244"/>
        </w:tabs>
        <w:spacing w:before="0" w:line="258" w:lineRule="exact"/>
        <w:ind w:right="0" w:firstLine="240" w:firstLineChars="10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急性毒性：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pStyle w:val="3"/>
        <w:tabs>
          <w:tab w:val="left" w:pos="3244"/>
        </w:tabs>
        <w:spacing w:before="25" w:line="168" w:lineRule="auto"/>
        <w:ind w:left="239" w:leftChars="114" w:right="6814" w:firstLine="0" w:firstLineChars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对皮肤腐蚀或刺激：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对眼睛严重损害或刺激：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生殖细胞致突变性：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</w:t>
      </w:r>
      <w:r>
        <w:rPr>
          <w:rFonts w:hint="eastAsia" w:ascii="黑体" w:hAnsi="黑体" w:eastAsia="黑体" w:cs="黑体"/>
          <w:b w:val="0"/>
          <w:bCs w:val="0"/>
          <w:spacing w:val="-18"/>
          <w:sz w:val="24"/>
          <w:szCs w:val="24"/>
        </w:rPr>
        <w:t>料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致癌性：</w:t>
      </w:r>
    </w:p>
    <w:p>
      <w:pPr>
        <w:tabs>
          <w:tab w:val="left" w:pos="3244"/>
        </w:tabs>
        <w:spacing w:before="0" w:line="240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IARC</w:t>
      </w:r>
      <w:r>
        <w:rPr>
          <w:rFonts w:hint="eastAsia" w:ascii="黑体" w:hAnsi="黑体" w:eastAsia="黑体" w:cs="黑体"/>
          <w:b w:val="0"/>
          <w:bCs w:val="0"/>
          <w:spacing w:val="22"/>
          <w:sz w:val="24"/>
          <w:szCs w:val="24"/>
        </w:rPr>
        <w:t xml:space="preserve"> =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NTP</w:t>
      </w:r>
      <w:r>
        <w:rPr>
          <w:rFonts w:hint="eastAsia" w:ascii="黑体" w:hAnsi="黑体" w:eastAsia="黑体" w:cs="黑体"/>
          <w:b w:val="0"/>
          <w:bCs w:val="0"/>
          <w:spacing w:val="22"/>
          <w:sz w:val="24"/>
          <w:szCs w:val="24"/>
        </w:rPr>
        <w:t xml:space="preserve"> =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生殖毒性：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313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第12部分 生态学信息</w:t>
      </w:r>
    </w:p>
    <w:p>
      <w:pPr>
        <w:pStyle w:val="3"/>
        <w:spacing w:line="258" w:lineRule="exact"/>
        <w:ind w:left="0" w:leftChars="0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生态毒性：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鱼类：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甲壳类：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藻类：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残留性</w:t>
      </w:r>
      <w:r>
        <w:rPr>
          <w:rFonts w:hint="eastAsia" w:ascii="黑体" w:hAnsi="黑体" w:eastAsia="黑体" w:cs="黑体"/>
          <w:b w:val="0"/>
          <w:bCs w:val="0"/>
          <w:spacing w:val="4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/</w:t>
      </w:r>
      <w:r>
        <w:rPr>
          <w:rFonts w:hint="eastAsia" w:ascii="黑体" w:hAnsi="黑体" w:eastAsia="黑体" w:cs="黑体"/>
          <w:b w:val="0"/>
          <w:bCs w:val="0"/>
          <w:spacing w:val="44"/>
          <w:w w:val="95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降解性：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pStyle w:val="3"/>
        <w:tabs>
          <w:tab w:val="left" w:pos="3244"/>
        </w:tabs>
        <w:ind w:left="0" w:leftChars="0" w:firstLine="240" w:firstLineChars="100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潜在生物累积 </w:t>
      </w:r>
      <w:r>
        <w:rPr>
          <w:rFonts w:hint="eastAsia" w:ascii="黑体" w:hAnsi="黑体" w:eastAsia="黑体" w:cs="黑体"/>
          <w:b w:val="0"/>
          <w:bCs w:val="0"/>
          <w:spacing w:val="7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(BCF):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spacing w:before="0" w:line="259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土壤中移动性</w:t>
      </w:r>
    </w:p>
    <w:p>
      <w:pPr>
        <w:tabs>
          <w:tab w:val="left" w:pos="3244"/>
        </w:tabs>
        <w:spacing w:before="0" w:line="259" w:lineRule="exact"/>
        <w:ind w:right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pacing w:val="-8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Log</w:t>
      </w:r>
      <w:r>
        <w:rPr>
          <w:rFonts w:hint="eastAsia" w:ascii="黑体" w:hAnsi="黑体" w:eastAsia="黑体" w:cs="黑体"/>
          <w:b w:val="0"/>
          <w:bCs w:val="0"/>
          <w:spacing w:val="46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Pow:：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tabs>
          <w:tab w:val="left" w:pos="3244"/>
        </w:tabs>
        <w:spacing w:before="0" w:line="257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土壤吸收系数(Koc)：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w w:val="95"/>
          <w:sz w:val="24"/>
          <w:szCs w:val="24"/>
        </w:rPr>
        <w:t>无资料</w:t>
      </w:r>
    </w:p>
    <w:p>
      <w:pPr>
        <w:spacing w:before="0" w:line="302" w:lineRule="exact"/>
        <w:ind w:left="828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亨利定律</w:t>
      </w:r>
    </w:p>
    <w:p>
      <w:pPr>
        <w:spacing w:before="0" w:line="213" w:lineRule="exact"/>
        <w:ind w:left="43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w w:val="99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constant(PaM</w:t>
      </w:r>
      <w:r>
        <w:rPr>
          <w:rFonts w:hint="eastAsia" w:ascii="黑体" w:hAnsi="黑体" w:eastAsia="黑体" w:cs="黑体"/>
          <w:b w:val="0"/>
          <w:bCs w:val="0"/>
          <w:position w:val="6"/>
          <w:sz w:val="24"/>
          <w:szCs w:val="24"/>
        </w:rPr>
        <w:t xml:space="preserve"> 3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/mol):</w:t>
      </w: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第13部分 废弃处置</w:t>
      </w:r>
    </w:p>
    <w:p>
      <w:pPr>
        <w:spacing w:before="0" w:line="316" w:lineRule="exact"/>
        <w:ind w:left="121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无资料</w:t>
      </w:r>
    </w:p>
    <w:p>
      <w:pPr>
        <w:pStyle w:val="7"/>
        <w:spacing w:before="27" w:line="168" w:lineRule="auto"/>
        <w:ind w:left="118" w:right="30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如果可能，回收处理。请咨询当地管理部门。建议在可燃溶剂中溶解混合，在装有后燃和洗涤装置的化学焚烧炉中焚烧。废弃处置时请遵守国家、地区和当地的所有法规。</w:t>
      </w:r>
    </w:p>
    <w:p>
      <w:pPr>
        <w:pStyle w:val="7"/>
        <w:spacing w:before="27" w:line="168" w:lineRule="auto"/>
        <w:ind w:left="118" w:right="307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第14部分 运输信息</w:t>
      </w:r>
    </w:p>
    <w:p>
      <w:pPr>
        <w:tabs>
          <w:tab w:val="left" w:pos="3244"/>
        </w:tabs>
        <w:spacing w:before="0" w:line="258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联合国分类：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与联合国分类标准不一致</w:t>
      </w:r>
    </w:p>
    <w:p>
      <w:pPr>
        <w:tabs>
          <w:tab w:val="left" w:pos="3244"/>
        </w:tabs>
        <w:spacing w:before="0" w:line="313" w:lineRule="exact"/>
        <w:ind w:right="0" w:firstLine="240" w:firstLineChars="10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UN编号：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未列明</w:t>
      </w:r>
    </w:p>
    <w:p>
      <w:pPr>
        <w:pStyle w:val="7"/>
        <w:spacing w:before="1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第15部分 法规信息</w:t>
      </w:r>
    </w:p>
    <w:p>
      <w:pPr>
        <w:spacing w:before="24" w:line="168" w:lineRule="auto"/>
        <w:ind w:left="431" w:right="280" w:firstLine="2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《危险化学品安全管理条例》(2002年1月26日国务院发布，2011年2月16日修订): 针对危险化学品的安全使用、生产、储存、运输、装卸等方面均作了相应的规定。</w:t>
      </w:r>
    </w:p>
    <w:p>
      <w:pPr>
        <w:spacing w:before="24" w:line="168" w:lineRule="auto"/>
        <w:ind w:left="431" w:right="280" w:firstLine="2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  <w:t>第16部分 其他信息</w:t>
      </w:r>
    </w:p>
    <w:p>
      <w:pPr>
        <w:pStyle w:val="3"/>
        <w:spacing w:line="258" w:lineRule="exac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记载内容的供参考公司</w:t>
      </w:r>
    </w:p>
    <w:p>
      <w:pPr>
        <w:pStyle w:val="7"/>
        <w:tabs>
          <w:tab w:val="left" w:pos="3244"/>
        </w:tabs>
        <w:spacing w:line="259" w:lineRule="exact"/>
        <w:ind w:left="433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公司: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武汉能迈科实业有限公司</w:t>
      </w:r>
    </w:p>
    <w:p>
      <w:pPr>
        <w:tabs>
          <w:tab w:val="left" w:pos="3244"/>
        </w:tabs>
        <w:spacing w:before="0" w:line="259" w:lineRule="exact"/>
        <w:ind w:left="433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地址: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武汉市江岸区塔子湖东路18号</w:t>
      </w:r>
    </w:p>
    <w:p>
      <w:pPr>
        <w:tabs>
          <w:tab w:val="left" w:pos="3244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部门：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学术部</w:t>
      </w:r>
    </w:p>
    <w:p>
      <w:pPr>
        <w:tabs>
          <w:tab w:val="right" w:pos="4643"/>
        </w:tabs>
        <w:spacing w:before="0" w:line="259" w:lineRule="exact"/>
        <w:ind w:left="434" w:right="0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应急电话：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ab/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027-83916065</w:t>
      </w:r>
    </w:p>
    <w:p>
      <w:pPr>
        <w:spacing w:before="18" w:line="168" w:lineRule="auto"/>
        <w:ind w:left="118" w:right="107" w:firstLine="0"/>
        <w:jc w:val="left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该化学品安全技术说明书基于我们能收集到的信息编制而成，然而，关于数据和对危害和毒性的评估不作保证。使用前，请调查危害和毒性信息，并优先考虑使用该产品的组织、地区和国家的法律法规。</w:t>
      </w:r>
    </w:p>
    <w:p>
      <w:pPr>
        <w:spacing w:before="2" w:line="168" w:lineRule="auto"/>
        <w:ind w:left="118" w:right="152" w:firstLine="0"/>
        <w:jc w:val="both"/>
        <w:rPr>
          <w:rFonts w:hint="eastAsia" w:ascii="黑体" w:hAnsi="黑体" w:eastAsia="黑体" w:cs="黑体"/>
          <w:b w:val="0"/>
          <w:bCs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>考虑到安全问题，产品购买后应该立即使用。一些新信息或修正会后续加上。如果该产品在远超出预期使用时间后使用或者您有任何问题，请和我们联系。所陈述的警告仅仅适用于普通使用情况。如果是特殊使用情况，在普通安全措施外必须做好额外的安全防护措施。应该注意到所有化学品都具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有</w:t>
      </w:r>
      <w:r>
        <w:rPr>
          <w:rFonts w:hint="eastAsia" w:ascii="黑体" w:hAnsi="黑体" w:eastAsia="黑体" w:cs="黑体"/>
          <w:b w:val="0"/>
          <w:bCs w:val="0"/>
          <w:spacing w:val="11"/>
          <w:w w:val="65"/>
          <w:sz w:val="24"/>
          <w:szCs w:val="24"/>
        </w:rPr>
        <w:t xml:space="preserve">“ 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未知的危害和毒性</w:t>
      </w:r>
      <w:r>
        <w:rPr>
          <w:rFonts w:hint="eastAsia" w:ascii="黑体" w:hAnsi="黑体" w:eastAsia="黑体" w:cs="黑体"/>
          <w:b w:val="0"/>
          <w:bCs w:val="0"/>
          <w:spacing w:val="12"/>
          <w:w w:val="65"/>
          <w:sz w:val="24"/>
          <w:szCs w:val="24"/>
        </w:rPr>
        <w:t xml:space="preserve">” </w:t>
      </w:r>
      <w:r>
        <w:rPr>
          <w:rFonts w:hint="eastAsia" w:ascii="黑体" w:hAnsi="黑体" w:eastAsia="黑体" w:cs="黑体"/>
          <w:b w:val="0"/>
          <w:bCs w:val="0"/>
          <w:spacing w:val="-1"/>
          <w:sz w:val="24"/>
          <w:szCs w:val="24"/>
        </w:rPr>
        <w:t>，在不同使用条件、储存条件下会差异很大。该产品从开封到储存到废弃整个过程须由熟悉专业知识、有经验的操作人员使</w:t>
      </w:r>
      <w:r>
        <w:rPr>
          <w:rFonts w:hint="eastAsia" w:ascii="黑体" w:hAnsi="黑体" w:eastAsia="黑体" w:cs="黑体"/>
          <w:b w:val="0"/>
          <w:bCs w:val="0"/>
          <w:sz w:val="24"/>
          <w:szCs w:val="24"/>
        </w:rPr>
        <w:t>用或在专家指导下使用。每位使用者都有责任建立安全的使用环境。</w:t>
      </w:r>
    </w:p>
    <w:p>
      <w:pPr>
        <w:ind w:firstLine="1800" w:firstLineChars="750"/>
        <w:rPr>
          <w:rFonts w:hint="eastAsia" w:ascii="黑体" w:hAnsi="黑体" w:eastAsia="黑体" w:cs="黑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NumType w:fmt="decimal" w:start="1" w:chapStyle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-692150</wp:posOffset>
          </wp:positionV>
          <wp:extent cx="933450" cy="657225"/>
          <wp:effectExtent l="19050" t="0" r="0" b="0"/>
          <wp:wrapSquare wrapText="bothSides"/>
          <wp:docPr id="7" name="图片 0" descr="QQ图片20141209101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0" descr="QQ图片201412091010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  <w:b/>
        <w:sz w:val="36"/>
        <w:szCs w:val="36"/>
      </w:rPr>
      <w:t xml:space="preserve">   武汉能迈科实业有限公司</w:t>
    </w:r>
  </w:p>
  <w:p>
    <w:pPr>
      <w:pStyle w:val="10"/>
      <w:pBdr>
        <w:bottom w:val="none" w:color="auto" w:sz="0" w:space="0"/>
      </w:pBdr>
      <w:ind w:firstLine="723"/>
      <w:rPr>
        <w:b/>
        <w:sz w:val="36"/>
        <w:szCs w:val="36"/>
      </w:rPr>
    </w:pPr>
    <w:r>
      <w:rPr>
        <w:rFonts w:hint="eastAsia"/>
        <w:b/>
        <w:sz w:val="36"/>
        <w:szCs w:val="36"/>
      </w:rPr>
      <w:t xml:space="preserve">   </w:t>
    </w:r>
    <w:bookmarkStart w:id="0" w:name="OLE_LINK1"/>
    <w:bookmarkStart w:id="1" w:name="OLE_LINK2"/>
    <w:r>
      <w:rPr>
        <w:rFonts w:hint="eastAsia"/>
        <w:b/>
        <w:sz w:val="36"/>
        <w:szCs w:val="36"/>
      </w:rPr>
      <w:t xml:space="preserve">Wuhan </w:t>
    </w:r>
    <w:r>
      <w:rPr>
        <w:b/>
        <w:sz w:val="36"/>
        <w:szCs w:val="36"/>
      </w:rPr>
      <w:t xml:space="preserve">Landmark </w:t>
    </w:r>
    <w:r>
      <w:rPr>
        <w:rFonts w:hint="eastAsia"/>
        <w:b/>
        <w:sz w:val="36"/>
        <w:szCs w:val="36"/>
      </w:rPr>
      <w:t>Industrial</w:t>
    </w:r>
    <w:r>
      <w:rPr>
        <w:b/>
        <w:sz w:val="36"/>
        <w:szCs w:val="36"/>
      </w:rPr>
      <w:t xml:space="preserve"> Co., L</w:t>
    </w:r>
    <w:bookmarkEnd w:id="0"/>
    <w:bookmarkEnd w:id="1"/>
    <w:r>
      <w:rPr>
        <w:rFonts w:hint="eastAsia"/>
        <w:b/>
        <w:sz w:val="36"/>
        <w:szCs w:val="36"/>
      </w:rPr>
      <w:t>td.</w:t>
    </w: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DD"/>
    <w:rsid w:val="00013C3F"/>
    <w:rsid w:val="000C4547"/>
    <w:rsid w:val="000D51A3"/>
    <w:rsid w:val="001171FE"/>
    <w:rsid w:val="00142CDD"/>
    <w:rsid w:val="00171847"/>
    <w:rsid w:val="001A6A76"/>
    <w:rsid w:val="001D1708"/>
    <w:rsid w:val="002342DA"/>
    <w:rsid w:val="002403D8"/>
    <w:rsid w:val="002D544E"/>
    <w:rsid w:val="00312AA1"/>
    <w:rsid w:val="00332728"/>
    <w:rsid w:val="0034028B"/>
    <w:rsid w:val="003443BE"/>
    <w:rsid w:val="00361EA3"/>
    <w:rsid w:val="00397D0F"/>
    <w:rsid w:val="0043418D"/>
    <w:rsid w:val="00450A0D"/>
    <w:rsid w:val="004E21D8"/>
    <w:rsid w:val="00505192"/>
    <w:rsid w:val="0050695E"/>
    <w:rsid w:val="006142BC"/>
    <w:rsid w:val="00633419"/>
    <w:rsid w:val="00740344"/>
    <w:rsid w:val="00781F86"/>
    <w:rsid w:val="00850E18"/>
    <w:rsid w:val="00857A86"/>
    <w:rsid w:val="008A6AE9"/>
    <w:rsid w:val="00975605"/>
    <w:rsid w:val="009E332C"/>
    <w:rsid w:val="00A1257D"/>
    <w:rsid w:val="00AE292A"/>
    <w:rsid w:val="00B72949"/>
    <w:rsid w:val="00B93435"/>
    <w:rsid w:val="00BC3B57"/>
    <w:rsid w:val="00C45701"/>
    <w:rsid w:val="00C869E6"/>
    <w:rsid w:val="00CA23DE"/>
    <w:rsid w:val="00CD0D67"/>
    <w:rsid w:val="00D27541"/>
    <w:rsid w:val="00D82D41"/>
    <w:rsid w:val="00E3783C"/>
    <w:rsid w:val="00E40A5C"/>
    <w:rsid w:val="00E50814"/>
    <w:rsid w:val="00E50A1A"/>
    <w:rsid w:val="00EB193E"/>
    <w:rsid w:val="00F019F6"/>
    <w:rsid w:val="00F0790F"/>
    <w:rsid w:val="00FA3CC6"/>
    <w:rsid w:val="00FE28FA"/>
    <w:rsid w:val="07C10277"/>
    <w:rsid w:val="0F104907"/>
    <w:rsid w:val="134A0F59"/>
    <w:rsid w:val="184A3647"/>
    <w:rsid w:val="1BC55A67"/>
    <w:rsid w:val="3CF834BD"/>
    <w:rsid w:val="413F64B5"/>
    <w:rsid w:val="49B60529"/>
    <w:rsid w:val="59A62FAB"/>
    <w:rsid w:val="5B786B19"/>
    <w:rsid w:val="6D7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9" w:semiHidden="0" w:name="heading 3"/>
    <w:lsdException w:qFormat="1" w:unhideWhenUsed="0" w:uiPriority="1" w:semiHidden="0" w:name="heading 4"/>
    <w:lsdException w:qFormat="1" w:unhideWhenUsed="0" w:uiPriority="1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14"/>
      <w:outlineLvl w:val="1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36"/>
      <w:ind w:left="109"/>
      <w:outlineLvl w:val="2"/>
    </w:pPr>
    <w:rPr>
      <w:rFonts w:ascii="Arial" w:hAnsi="Arial" w:eastAsia="Arial" w:cs="Arial"/>
      <w:b/>
      <w:bCs/>
      <w:sz w:val="19"/>
      <w:szCs w:val="19"/>
      <w:lang w:val="zh-CN" w:eastAsia="zh-CN" w:bidi="zh-CN"/>
    </w:rPr>
  </w:style>
  <w:style w:type="paragraph" w:styleId="4">
    <w:name w:val="heading 3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qFormat/>
    <w:uiPriority w:val="1"/>
    <w:pPr>
      <w:spacing w:before="69"/>
      <w:ind w:left="114"/>
      <w:outlineLvl w:val="4"/>
    </w:pPr>
    <w:rPr>
      <w:rFonts w:ascii="Arial" w:hAnsi="Arial" w:eastAsia="Arial" w:cs="Arial"/>
      <w:sz w:val="16"/>
      <w:szCs w:val="16"/>
      <w:lang w:val="zh-CN" w:eastAsia="zh-CN" w:bidi="zh-CN"/>
    </w:rPr>
  </w:style>
  <w:style w:type="paragraph" w:styleId="6">
    <w:name w:val="heading 5"/>
    <w:basedOn w:val="1"/>
    <w:next w:val="1"/>
    <w:qFormat/>
    <w:uiPriority w:val="1"/>
    <w:pPr>
      <w:ind w:left="109"/>
      <w:outlineLvl w:val="5"/>
    </w:pPr>
    <w:rPr>
      <w:rFonts w:ascii="Microsoft JhengHei" w:hAnsi="Microsoft JhengHei" w:eastAsia="Microsoft JhengHei" w:cs="Microsoft JhengHei"/>
      <w:b/>
      <w:bCs/>
      <w:sz w:val="14"/>
      <w:szCs w:val="14"/>
      <w:lang w:val="zh-CN" w:eastAsia="zh-CN" w:bidi="zh-CN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宋体" w:hAnsi="宋体" w:eastAsia="宋体" w:cs="宋体"/>
      <w:sz w:val="14"/>
      <w:szCs w:val="14"/>
      <w:lang w:val="zh-CN" w:eastAsia="zh-CN" w:bidi="zh-CN"/>
    </w:rPr>
  </w:style>
  <w:style w:type="paragraph" w:styleId="8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9">
    <w:name w:val="footer"/>
    <w:basedOn w:val="1"/>
    <w:link w:val="1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basedOn w:val="1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4"/>
    <w:link w:val="8"/>
    <w:semiHidden/>
    <w:qFormat/>
    <w:uiPriority w:val="99"/>
    <w:rPr>
      <w:sz w:val="18"/>
      <w:szCs w:val="18"/>
    </w:rPr>
  </w:style>
  <w:style w:type="character" w:customStyle="1" w:styleId="17">
    <w:name w:val="标题 3 Char"/>
    <w:basedOn w:val="14"/>
    <w:link w:val="4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8">
    <w:name w:val="页眉 Char"/>
    <w:basedOn w:val="14"/>
    <w:link w:val="10"/>
    <w:qFormat/>
    <w:uiPriority w:val="99"/>
    <w:rPr>
      <w:sz w:val="18"/>
      <w:szCs w:val="18"/>
    </w:rPr>
  </w:style>
  <w:style w:type="character" w:customStyle="1" w:styleId="19">
    <w:name w:val="页脚 Char"/>
    <w:basedOn w:val="14"/>
    <w:link w:val="9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152ECA-1A66-4C53-96DE-FA1584EE5F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733</Words>
  <Characters>4183</Characters>
  <Lines>34</Lines>
  <Paragraphs>9</Paragraphs>
  <TotalTime>3</TotalTime>
  <ScaleCrop>false</ScaleCrop>
  <LinksUpToDate>false</LinksUpToDate>
  <CharactersWithSpaces>4907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2020-05-25T08:49:00Z</dcterms:created>
  <dc:creator>Administrator</dc:creator>
  <cp:lastModifiedBy>妨烧兆接页</cp:lastModifiedBy>
  <dcterms:modified xsi:type="dcterms:W3CDTF">2022-11-21T08:05:29Z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