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
        <w:rPr>
          <w:rFonts w:ascii="Arial"/>
          <w:sz w:val="19"/>
        </w:rPr>
      </w:pPr>
    </w:p>
    <w:p>
      <w:pPr>
        <w:spacing w:line="360" w:lineRule="auto"/>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对甲基肉桂酸</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w:t>
      </w:r>
      <w:r>
        <w:rPr>
          <w:rFonts w:hint="eastAsia" w:ascii="Times New Roman" w:hAnsi="Times New Roman" w:eastAsia="黑体" w:cs="Times New Roman"/>
          <w:sz w:val="24"/>
          <w:szCs w:val="24"/>
          <w:lang w:eastAsia="zh-CN"/>
        </w:rPr>
        <w:t>、</w:t>
      </w:r>
      <w:r>
        <w:rPr>
          <w:rFonts w:ascii="Times New Roman" w:hAnsi="Times New Roman" w:eastAsia="黑体" w:cs="Times New Roman"/>
          <w:sz w:val="24"/>
          <w:szCs w:val="24"/>
        </w:rPr>
        <w:t>GB/T17519编制</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版本：1.0</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mc:AlternateContent>
          <mc:Choice Requires="wps">
            <w:drawing>
              <wp:anchor distT="0" distB="0" distL="114300" distR="114300" simplePos="0" relativeHeight="251734016" behindDoc="0" locked="0" layoutInCell="1" allowOverlap="1">
                <wp:simplePos x="0" y="0"/>
                <wp:positionH relativeFrom="column">
                  <wp:posOffset>-10795</wp:posOffset>
                </wp:positionH>
                <wp:positionV relativeFrom="paragraph">
                  <wp:posOffset>22860</wp:posOffset>
                </wp:positionV>
                <wp:extent cx="5464175" cy="9525"/>
                <wp:effectExtent l="0" t="0" r="0" b="0"/>
                <wp:wrapNone/>
                <wp:docPr id="16" name="自选图形 5"/>
                <wp:cNvGraphicFramePr/>
                <a:graphic xmlns:a="http://schemas.openxmlformats.org/drawingml/2006/main">
                  <a:graphicData uri="http://schemas.microsoft.com/office/word/2010/wordprocessingShape">
                    <wps:wsp>
                      <wps:cNvCnPr/>
                      <wps:spPr>
                        <a:xfrm flipV="1">
                          <a:off x="0" y="0"/>
                          <a:ext cx="546417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 o:spid="_x0000_s1026" o:spt="32" type="#_x0000_t32" style="position:absolute;left:0pt;flip:y;margin-left:-0.85pt;margin-top:1.8pt;height:0.75pt;width:430.25pt;z-index:251734016;mso-width-relative:page;mso-height-relative:page;" filled="f" stroked="t" coordsize="21600,21600" o:gfxdata="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LXM4/VAAAA&#10;BgEAAA8AAAAAAAAAAQAgAAAAIgAAAGRycy9kb3ducmV2LnhtbFBLAQIUABQAAAAIAIdO4kBeF4qi&#10;5wEAALEDAAAOAAAAAAAAAAEAIAAAACQBAABkcnMvZTJvRG9jLnhtbFBLBQYAAAAABgAGAFkBAAB9&#10;BQAAAAA=&#10;">
                <v:fill on="f" focussize="0,0"/>
                <v:stroke color="#000000" joinstyle="round"/>
                <v:imagedata o:title=""/>
                <o:lock v:ext="edit" aspectratio="f"/>
              </v:shape>
            </w:pict>
          </mc:Fallback>
        </mc:AlternateContent>
      </w: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对甲基肉桂酸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asciiTheme="minorAscii"/>
        </w:rPr>
        <w:t>4-Methylcinnamic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Arial"/>
          <w:sz w:val="26"/>
        </w:rPr>
      </w:pPr>
      <w:r>
        <w:rPr>
          <w:rFonts w:ascii="Times New Roman" w:hAnsi="Times New Roman" w:eastAsia="黑体" w:cs="Times New Roman"/>
          <w:sz w:val="24"/>
          <w:szCs w:val="24"/>
        </w:rPr>
        <w:t>联系电话：027-83916065</w:t>
      </w: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GHS危险性类别</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根据全球协调系统(GHS)的规定，不是危险物质或混合物。</w:t>
      </w:r>
    </w:p>
    <w:p>
      <w:pPr>
        <w:spacing w:before="135"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 标签要素，包括防范说明</w:t>
      </w:r>
    </w:p>
    <w:p>
      <w:pPr>
        <w:pStyle w:val="7"/>
        <w:spacing w:before="14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0" distR="0" simplePos="0" relativeHeight="251662336" behindDoc="0" locked="0" layoutInCell="1" allowOverlap="1">
            <wp:simplePos x="0" y="0"/>
            <wp:positionH relativeFrom="page">
              <wp:posOffset>2260600</wp:posOffset>
            </wp:positionH>
            <wp:positionV relativeFrom="paragraph">
              <wp:posOffset>67945</wp:posOffset>
            </wp:positionV>
            <wp:extent cx="315595" cy="315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rFonts w:hint="eastAsia" w:asciiTheme="minorEastAsia" w:hAnsiTheme="minorEastAsia" w:eastAsiaTheme="minorEastAsia" w:cstheme="minorEastAsia"/>
          <w:sz w:val="24"/>
          <w:szCs w:val="24"/>
        </w:rPr>
        <w:t>象形图</w:t>
      </w:r>
    </w:p>
    <w:p>
      <w:pPr>
        <w:pStyle w:val="4"/>
        <w:spacing w:before="95" w:line="360" w:lineRule="auto"/>
        <w:ind w:left="0" w:leftChars="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物理和化学危险</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目前掌握信息，没有物理或化学的危险性。</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健康危害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目前掌握信息，没有健康危害。</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目前掌握信息，没有环境的危害。</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其它危害物</w:t>
      </w:r>
    </w:p>
    <w:p>
      <w:pPr>
        <w:pStyle w:val="4"/>
        <w:spacing w:before="0" w:line="36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无</w:t>
      </w:r>
    </w:p>
    <w:p>
      <w:pPr>
        <w:pStyle w:val="7"/>
        <w:spacing w:before="3"/>
        <w:rPr>
          <w:sz w:val="12"/>
        </w:rPr>
      </w:pPr>
    </w:p>
    <w:p>
      <w:pPr>
        <w:spacing w:line="360" w:lineRule="auto"/>
        <w:ind w:firstLine="2400" w:firstLineChars="750"/>
        <w:rPr>
          <w:rFonts w:ascii="Times New Roman" w:hAnsi="Times New Roman" w:eastAsia="黑体" w:cs="Times New Roman"/>
          <w:sz w:val="32"/>
          <w:szCs w:val="32"/>
        </w:rPr>
      </w:pP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中文名称：</w:t>
      </w:r>
      <w:r>
        <w:t>对甲基肉桂酸</w:t>
      </w:r>
    </w:p>
    <w:p>
      <w:pPr>
        <w:spacing w:before="137" w:line="360" w:lineRule="auto"/>
        <w:ind w:right="0"/>
        <w:jc w:val="left"/>
        <w:rPr>
          <w:rFonts w:hint="eastAsia"/>
        </w:rPr>
      </w:pPr>
      <w:r>
        <w:rPr>
          <w:rFonts w:hint="eastAsia" w:asciiTheme="minorEastAsia" w:hAnsiTheme="minorEastAsia" w:eastAsiaTheme="minorEastAsia" w:cstheme="minorEastAsia"/>
          <w:sz w:val="24"/>
          <w:szCs w:val="24"/>
          <w:lang w:val="en-US" w:eastAsia="zh-CN"/>
        </w:rPr>
        <w:t>化学别名</w:t>
      </w:r>
      <w:r>
        <w:rPr>
          <w:rFonts w:hint="eastAsia" w:asciiTheme="minorEastAsia" w:hAnsiTheme="minorEastAsia" w:eastAsiaTheme="minorEastAsia" w:cstheme="minorEastAsia"/>
          <w:sz w:val="24"/>
          <w:szCs w:val="24"/>
        </w:rPr>
        <w:t>：</w:t>
      </w:r>
      <w:r>
        <w:t>4-甲基肉桂酸,3-乙酰基苯甲酸叔丁酯</w:t>
      </w:r>
    </w:p>
    <w:p>
      <w:pPr>
        <w:pStyle w:val="5"/>
        <w:spacing w:before="63" w:line="360" w:lineRule="auto"/>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CAS 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ascii="宋体" w:hAnsi="宋体" w:eastAsia="宋体" w:cs="宋体"/>
          <w:sz w:val="22"/>
          <w:szCs w:val="22"/>
          <w:lang w:val="zh-CN" w:eastAsia="zh-CN" w:bidi="zh-CN"/>
        </w:rPr>
        <w:t>1866-39-3</w:t>
      </w:r>
    </w:p>
    <w:p>
      <w:pPr>
        <w:spacing w:before="69" w:line="360" w:lineRule="auto"/>
        <w:ind w:right="0"/>
        <w:jc w:val="left"/>
        <w:rPr>
          <w:rFonts w:hint="default" w:ascii="宋体" w:hAnsi="宋体" w:eastAsia="宋体" w:cs="宋体"/>
          <w:sz w:val="22"/>
          <w:szCs w:val="22"/>
          <w:lang w:val="en-US" w:eastAsia="zh-CN" w:bidi="zh-CN"/>
        </w:rPr>
      </w:pPr>
      <w:r>
        <w:rPr>
          <w:rFonts w:hint="eastAsia" w:asciiTheme="minorEastAsia" w:hAnsiTheme="minorEastAsia" w:eastAsiaTheme="minorEastAsia" w:cstheme="minorEastAsia"/>
          <w:w w:val="90"/>
          <w:sz w:val="24"/>
          <w:szCs w:val="24"/>
        </w:rPr>
        <w:t>EC number</w:t>
      </w:r>
      <w:r>
        <w:rPr>
          <w:rFonts w:hint="eastAsia" w:asciiTheme="minorEastAsia" w:hAnsiTheme="minorEastAsia" w:eastAsiaTheme="minorEastAsia" w:cstheme="minorEastAsia"/>
          <w:w w:val="90"/>
          <w:sz w:val="24"/>
          <w:szCs w:val="24"/>
          <w:lang w:eastAsia="zh-CN"/>
        </w:rPr>
        <w:t>：</w:t>
      </w:r>
      <w:r>
        <w:rPr>
          <w:rFonts w:ascii="宋体" w:hAnsi="宋体" w:eastAsia="宋体" w:cs="宋体"/>
          <w:sz w:val="22"/>
          <w:szCs w:val="22"/>
          <w:lang w:val="zh-CN" w:eastAsia="zh-CN" w:bidi="zh-CN"/>
        </w:rPr>
        <w:t>217-479-9</w:t>
      </w:r>
    </w:p>
    <w:p>
      <w:pPr>
        <w:pStyle w:val="7"/>
        <w:spacing w:before="85" w:line="360" w:lineRule="auto"/>
        <w:ind w:right="323"/>
        <w:rPr>
          <w:rFonts w:hint="eastAsia" w:ascii="宋体" w:hAnsi="宋体" w:eastAsia="宋体" w:cs="宋体"/>
          <w:sz w:val="22"/>
          <w:szCs w:val="22"/>
          <w:lang w:val="en-US" w:eastAsia="zh-CN" w:bidi="zh-CN"/>
        </w:rPr>
      </w:pPr>
      <w:r>
        <w:rPr>
          <w:rFonts w:hint="eastAsia" w:asciiTheme="minorEastAsia" w:hAnsiTheme="minorEastAsia" w:eastAsiaTheme="minorEastAsia" w:cstheme="minorEastAsia"/>
          <w:sz w:val="24"/>
          <w:szCs w:val="24"/>
        </w:rPr>
        <w:t>分子式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宋体" w:hAnsi="宋体" w:eastAsia="宋体" w:cs="宋体"/>
          <w:sz w:val="22"/>
          <w:szCs w:val="22"/>
          <w:lang w:val="en-US" w:eastAsia="zh-CN" w:bidi="zh-CN"/>
        </w:rPr>
        <w:t>C10H10O2</w:t>
      </w:r>
    </w:p>
    <w:p>
      <w:pPr>
        <w:spacing w:line="360" w:lineRule="auto"/>
        <w:rPr>
          <w:rFonts w:hint="eastAsia" w:ascii="宋体" w:hAnsi="宋体" w:eastAsia="宋体" w:cs="宋体"/>
          <w:sz w:val="22"/>
          <w:szCs w:val="22"/>
          <w:lang w:val="en-US" w:eastAsia="zh-CN" w:bidi="zh-CN"/>
        </w:rPr>
      </w:pPr>
      <w:r>
        <w:rPr>
          <w:rFonts w:hint="eastAsia" w:asciiTheme="minorEastAsia" w:hAnsiTheme="minorEastAsia" w:eastAsiaTheme="minorEastAsia" w:cstheme="minorEastAsia"/>
          <w:sz w:val="24"/>
          <w:szCs w:val="24"/>
        </w:rPr>
        <w:t>分子量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宋体" w:hAnsi="宋体" w:eastAsia="宋体" w:cs="宋体"/>
          <w:sz w:val="22"/>
          <w:szCs w:val="22"/>
          <w:lang w:val="en-US" w:eastAsia="zh-CN" w:bidi="zh-CN"/>
        </w:rPr>
        <w:t>162.19</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4 部分：急救措施</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必要的急救措施描述</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吸入</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 xml:space="preserve">如果吸入,请将患者移到新鲜空气处。 </w:t>
      </w:r>
      <w:r>
        <w:rPr>
          <w:rFonts w:hint="eastAsia" w:asciiTheme="minorEastAsia" w:hAnsiTheme="minorEastAsia" w:eastAsiaTheme="minorEastAsia" w:cstheme="minorEastAsia"/>
          <w:sz w:val="24"/>
          <w:szCs w:val="24"/>
        </w:rPr>
        <w:t>呼吸停止，进行人工呼吸。</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皮肤接触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用肥皂和大量的水冲洗。</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眼睛接触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谨慎起见用水冲洗眼睛。</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食入</w:t>
      </w:r>
    </w:p>
    <w:p>
      <w:pPr>
        <w:pStyle w:val="7"/>
        <w:spacing w:before="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切勿给失去知觉者喂食任何东西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用水漱口。</w:t>
      </w:r>
    </w:p>
    <w:p>
      <w:pPr>
        <w:pStyle w:val="7"/>
        <w:spacing w:before="7"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最重要的症状和健康影响</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最重要的已知症状及作用已在标签（参见章节2.2）和/或章节11中介绍</w:t>
      </w:r>
    </w:p>
    <w:p>
      <w:pPr>
        <w:pStyle w:val="4"/>
        <w:spacing w:before="136"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及时的医疗处理和所需的特殊处理的说明和指示</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对医生的特别提示</w:t>
      </w:r>
    </w:p>
    <w:p>
      <w:pPr>
        <w:pStyle w:val="7"/>
      </w:pPr>
      <w:r>
        <w:rPr>
          <w:rFonts w:hint="eastAsia" w:asciiTheme="minorEastAsia" w:hAnsiTheme="minorEastAsia" w:eastAsiaTheme="minorEastAsia" w:cstheme="minorEastAsia"/>
          <w:sz w:val="24"/>
          <w:szCs w:val="24"/>
        </w:rPr>
        <w:t>无数据资料</w:t>
      </w:r>
    </w:p>
    <w:p>
      <w:pPr>
        <w:pStyle w:val="2"/>
        <w:ind w:left="0" w:leftChars="0" w:firstLine="0" w:firstLineChars="0"/>
        <w:rPr>
          <w:color w:val="333333"/>
        </w:rPr>
      </w:pPr>
    </w:p>
    <w:p>
      <w:pPr>
        <w:pStyle w:val="2"/>
        <w:rPr>
          <w:color w:val="333333"/>
        </w:rPr>
      </w:pPr>
    </w:p>
    <w:p>
      <w:pPr>
        <w:pStyle w:val="2"/>
        <w:jc w:val="center"/>
        <w:rPr>
          <w:rFonts w:ascii="Times New Roman" w:hAnsi="Times New Roman" w:eastAsia="黑体" w:cs="Times New Roman"/>
          <w:sz w:val="32"/>
          <w:szCs w:val="32"/>
          <w:lang w:val="zh-CN" w:eastAsia="zh-CN" w:bidi="zh-CN"/>
        </w:rPr>
      </w:pPr>
    </w:p>
    <w:p>
      <w:pPr>
        <w:pStyle w:val="2"/>
        <w:jc w:val="center"/>
      </w:pPr>
      <w:r>
        <w:rPr>
          <w:rFonts w:ascii="Times New Roman" w:hAnsi="Times New Roman" w:eastAsia="黑体" w:cs="Times New Roman"/>
          <w:sz w:val="32"/>
          <w:szCs w:val="32"/>
          <w:lang w:val="zh-CN" w:eastAsia="zh-CN" w:bidi="zh-CN"/>
        </w:rPr>
        <w:t>第 5 部分：消防措施</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灭火介质</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灭火方法及灭火剂</w:t>
      </w:r>
    </w:p>
    <w:p>
      <w:pPr>
        <w:pStyle w:val="7"/>
        <w:spacing w:before="4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用水雾，耐醇泡沫，干粉或二氧化碳灭火。</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源于此物质或混合物的特别的危害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碳氧化物</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灭火注意事项及保护措施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如有必要，佩戴自给式呼吸器进行消防作业。</w:t>
      </w:r>
    </w:p>
    <w:p>
      <w:pPr>
        <w:pStyle w:val="7"/>
      </w:pPr>
    </w:p>
    <w:p>
      <w:pPr>
        <w:pStyle w:val="7"/>
        <w:spacing w:before="3"/>
      </w:pPr>
    </w:p>
    <w:p>
      <w:pPr>
        <w:pStyle w:val="2"/>
        <w:ind w:left="0" w:leftChars="0" w:firstLine="0" w:firstLineChars="0"/>
        <w:jc w:val="center"/>
      </w:pPr>
      <w:r>
        <w:rPr>
          <w:rFonts w:ascii="Times New Roman" w:hAnsi="Times New Roman" w:eastAsia="黑体" w:cs="Times New Roman"/>
          <w:sz w:val="32"/>
          <w:szCs w:val="32"/>
          <w:lang w:val="zh-CN"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不要让产品进入下水道。</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4"/>
        <w:spacing w:before="0" w:line="36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丢弃处理请参阅第13节。</w:t>
      </w:r>
    </w:p>
    <w:p>
      <w:pPr>
        <w:pStyle w:val="7"/>
        <w:rPr>
          <w:sz w:val="16"/>
        </w:rPr>
      </w:pPr>
    </w:p>
    <w:p>
      <w:pPr>
        <w:pStyle w:val="7"/>
        <w:spacing w:before="3"/>
        <w:rPr>
          <w:sz w:val="12"/>
        </w:rPr>
      </w:pPr>
    </w:p>
    <w:p>
      <w:pPr>
        <w:pStyle w:val="2"/>
        <w:jc w:val="center"/>
      </w:pPr>
      <w:r>
        <w:rPr>
          <w:rFonts w:ascii="Times New Roman" w:hAnsi="Times New Roman" w:eastAsia="黑体" w:cs="Times New Roman"/>
          <w:sz w:val="32"/>
          <w:szCs w:val="32"/>
          <w:lang w:val="zh-CN"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在有粉尘生成的地方,提供合适的排风设备。一般性的防火保护措施。有关预防措施，请参见章节2.</w:t>
      </w:r>
      <w:r>
        <w:rPr>
          <w:rFonts w:hint="eastAsia" w:asciiTheme="minorEastAsia" w:hAnsiTheme="minorEastAsia" w:eastAsiaTheme="minorEastAsia" w:cstheme="minorEastAsia"/>
          <w:sz w:val="21"/>
          <w:szCs w:val="21"/>
          <w:lang w:val="en-US" w:eastAsia="zh-CN"/>
        </w:rPr>
        <w:t>2</w:t>
      </w:r>
    </w:p>
    <w:p>
      <w:pPr>
        <w:pStyle w:val="7"/>
        <w:spacing w:before="137"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安全储存的条件,包括任何不兼容性</w:t>
      </w:r>
    </w:p>
    <w:p>
      <w:pPr>
        <w:pStyle w:val="7"/>
        <w:spacing w:before="137" w:line="36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贮存在阴凉处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使容器保持密闭，储存在干燥通风</w:t>
      </w:r>
    </w:p>
    <w:p>
      <w:pPr>
        <w:pStyle w:val="7"/>
        <w:spacing w:before="137" w:line="360" w:lineRule="auto"/>
        <w:rPr>
          <w:rFonts w:hint="eastAsia" w:asciiTheme="minorEastAsia" w:hAnsiTheme="minorEastAsia" w:eastAsiaTheme="minorEastAsia" w:cstheme="minorEastAsia"/>
          <w:b w:val="0"/>
          <w:bCs w:val="0"/>
          <w:sz w:val="21"/>
          <w:szCs w:val="21"/>
          <w:lang w:val="en-US" w:eastAsia="zh-CN"/>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rPr>
      </w:pPr>
      <w:r>
        <w:rPr>
          <w:rFonts w:hint="eastAsia" w:asciiTheme="minorEastAsia" w:hAnsiTheme="minorEastAsia" w:eastAsiaTheme="minorEastAsia" w:cstheme="minorEastAsia"/>
          <w:b/>
          <w:bCs/>
          <w:color w:val="000000" w:themeColor="text1"/>
          <w:sz w:val="18"/>
          <w:szCs w:val="18"/>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环境暴露的控制</w:t>
      </w:r>
    </w:p>
    <w:p>
      <w:pPr>
        <w:spacing w:before="0" w:line="360" w:lineRule="auto"/>
        <w:ind w:right="614"/>
        <w:jc w:val="left"/>
      </w:pPr>
      <w:r>
        <w:rPr>
          <w:rFonts w:hint="eastAsia" w:asciiTheme="minorEastAsia" w:hAnsiTheme="minorEastAsia" w:eastAsiaTheme="minorEastAsia" w:cstheme="minorEastAsia"/>
          <w:sz w:val="18"/>
          <w:szCs w:val="18"/>
          <w:lang w:val="en-US" w:eastAsia="zh-CN" w:bidi="zh-CN"/>
        </w:rPr>
        <w:t>无特别的环境预防要求。</w:t>
      </w: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形状：固体</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熔点/熔点范围：196-198℃-lit.</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无数据资料</w:t>
      </w:r>
    </w:p>
    <w:p>
      <w:pPr>
        <w:spacing w:after="0"/>
        <w:rPr>
          <w:rFonts w:hint="eastAsia" w:asciiTheme="minorEastAsia" w:hAnsiTheme="minorEastAsia" w:eastAsiaTheme="minorEastAsia" w:cstheme="minorEastAsia"/>
          <w:sz w:val="21"/>
          <w:szCs w:val="21"/>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節滅火措施</w:t>
      </w:r>
    </w:p>
    <w:p>
      <w:pPr>
        <w:spacing w:after="0"/>
        <w:rPr>
          <w:rFonts w:hint="eastAsia" w:asciiTheme="minorEastAsia" w:hAnsiTheme="minorEastAsia" w:eastAsiaTheme="minorEastAsia" w:cstheme="minorEastAsia"/>
          <w:sz w:val="24"/>
          <w:szCs w:val="24"/>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spacing w:before="0"/>
        <w:ind w:right="0"/>
        <w:jc w:val="both"/>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default" w:asciiTheme="minorEastAsia" w:hAnsiTheme="minorEastAsia" w:eastAsiaTheme="minorEastAsia" w:cstheme="minorEastAsia"/>
          <w:b/>
          <w:bCs/>
          <w:w w:val="95"/>
          <w:sz w:val="24"/>
          <w:szCs w:val="24"/>
          <w:lang w:val="en-US" w:eastAsia="en-US"/>
        </w:rPr>
      </w:pPr>
      <w:r>
        <w:rPr>
          <w:rFonts w:hint="eastAsia" w:asciiTheme="minorEastAsia" w:hAnsiTheme="minorEastAsia" w:eastAsiaTheme="minorEastAsia" w:cstheme="minorEastAsia"/>
          <w:b/>
          <w:bCs/>
          <w:w w:val="95"/>
          <w:sz w:val="24"/>
          <w:szCs w:val="24"/>
          <w:lang w:val="en-US" w:eastAsia="zh-CN"/>
        </w:rPr>
        <w:t>其他规定</w:t>
      </w:r>
    </w:p>
    <w:p>
      <w:pPr>
        <w:pStyle w:val="7"/>
        <w:spacing w:before="147" w:line="360" w:lineRule="auto"/>
        <w:rPr>
          <w:rFonts w:hint="eastAsia" w:asciiTheme="minorEastAsia" w:hAnsiTheme="minorEastAsia" w:eastAsiaTheme="minorEastAsia" w:cstheme="minorEastAsia"/>
          <w:sz w:val="24"/>
          <w:szCs w:val="24"/>
        </w:rPr>
      </w:pPr>
      <w:bookmarkStart w:id="2" w:name="_GoBack"/>
      <w:bookmarkEnd w:id="2"/>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en-US" w:eastAsia="en-US" w:bidi="en-US"/>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en-US" w:eastAsia="en-US" w:bidi="en-US"/>
        </w:rPr>
        <w:t>https://</w:t>
      </w:r>
      <w:r>
        <w:rPr>
          <w:rFonts w:hint="eastAsia" w:asciiTheme="minorAscii" w:hAnsiTheme="minorEastAsia" w:eastAsiaTheme="minorEastAsia" w:cstheme="minorEastAsia"/>
          <w:sz w:val="21"/>
          <w:szCs w:val="21"/>
          <w:lang w:val="en-US" w:eastAsia="en-US" w:bidi="en-US"/>
        </w:rPr>
        <w:fldChar w:fldCharType="begin"/>
      </w:r>
      <w:r>
        <w:rPr>
          <w:rFonts w:hint="eastAsia" w:asciiTheme="minorAscii" w:hAnsiTheme="minorEastAsia" w:eastAsiaTheme="minorEastAsia" w:cstheme="minorEastAsia"/>
          <w:sz w:val="21"/>
          <w:szCs w:val="21"/>
          <w:lang w:val="en-US" w:eastAsia="en-US" w:bidi="en-US"/>
        </w:rPr>
        <w:instrText xml:space="preserve"> HYPERLINK "http://www.sigmaaldrich.com/" \h </w:instrText>
      </w:r>
      <w:r>
        <w:rPr>
          <w:rFonts w:hint="eastAsia" w:asciiTheme="minorAscii" w:hAnsiTheme="minorEastAsia" w:eastAsiaTheme="minorEastAsia" w:cstheme="minorEastAsia"/>
          <w:sz w:val="21"/>
          <w:szCs w:val="21"/>
          <w:lang w:val="en-US" w:eastAsia="en-US" w:bidi="en-US"/>
        </w:rPr>
        <w:fldChar w:fldCharType="separate"/>
      </w:r>
      <w:r>
        <w:rPr>
          <w:rFonts w:hint="eastAsia" w:asciiTheme="minorAscii" w:hAnsiTheme="minorEastAsia" w:eastAsiaTheme="minorEastAsia" w:cstheme="minorEastAsia"/>
          <w:sz w:val="21"/>
          <w:szCs w:val="21"/>
          <w:lang w:val="en-US" w:eastAsia="en-US" w:bidi="en-US"/>
        </w:rPr>
        <w:t>www.sigmaaldrich.com/</w:t>
      </w:r>
      <w:r>
        <w:rPr>
          <w:rFonts w:hint="eastAsia" w:asciiTheme="minorAscii" w:hAnsiTheme="minorEastAsia" w:eastAsiaTheme="minorEastAsia" w:cstheme="minorEastAsia"/>
          <w:sz w:val="21"/>
          <w:szCs w:val="21"/>
          <w:lang w:val="en-US" w:eastAsia="en-US" w:bidi="en-US"/>
        </w:rPr>
        <w:fldChar w:fldCharType="end"/>
      </w:r>
      <w:r>
        <w:rPr>
          <w:rFonts w:hint="eastAsia" w:asciiTheme="minorEastAsia" w:hAnsiTheme="minorEastAsia" w:eastAsiaTheme="minorEastAsia" w:cstheme="minorEastAsia"/>
          <w:sz w:val="21"/>
          <w:szCs w:val="21"/>
          <w:lang w:eastAsia="zh-CN"/>
        </w:rPr>
        <w:t>。</w:t>
      </w:r>
    </w:p>
    <w:p>
      <w:pPr>
        <w:rPr>
          <w:rFonts w:hint="eastAsia"/>
          <w:b/>
          <w:bCs/>
          <w:sz w:val="24"/>
          <w:szCs w:val="24"/>
          <w:lang w:eastAsia="zh-CN"/>
        </w:rPr>
      </w:pPr>
      <w:r>
        <w:rPr>
          <w:rFonts w:hint="eastAsia" w:asciiTheme="minorEastAsia" w:hAnsiTheme="minorEastAsia" w:eastAsiaTheme="minorEastAsia" w:cstheme="minorEastAsia"/>
          <w:b/>
          <w:bCs/>
          <w:sz w:val="24"/>
          <w:szCs w:val="24"/>
        </w:rPr>
        <w:t>参考文献</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p>
    <w:p>
      <w:pPr>
        <w:pStyle w:val="7"/>
      </w:pPr>
    </w:p>
    <w:p>
      <w:pPr>
        <w:pStyle w:val="7"/>
        <w:spacing w:before="3"/>
      </w:pPr>
    </w:p>
    <w:p>
      <w:pPr>
        <w:pStyle w:val="7"/>
      </w:pPr>
    </w:p>
    <w:p>
      <w:pPr>
        <w:pStyle w:val="7"/>
        <w:rPr>
          <w:sz w:val="16"/>
        </w:rPr>
      </w:pPr>
    </w:p>
    <w:p>
      <w:pPr>
        <w:pStyle w:val="7"/>
        <w:rPr>
          <w:sz w:val="16"/>
        </w:rPr>
      </w:pPr>
    </w:p>
    <w:p>
      <w:pPr>
        <w:pStyle w:val="7"/>
        <w:rPr>
          <w:sz w:val="16"/>
        </w:rPr>
      </w:pPr>
    </w:p>
    <w:p>
      <w:pPr>
        <w:pStyle w:val="7"/>
        <w:spacing w:before="3"/>
      </w:pPr>
    </w:p>
    <w:p>
      <w:pPr>
        <w:pStyle w:val="7"/>
        <w:spacing w:before="3"/>
      </w:pPr>
    </w:p>
    <w:p>
      <w:pPr>
        <w:pStyle w:val="7"/>
        <w:rPr>
          <w:rFonts w:ascii="Microsoft JhengHei"/>
          <w:b/>
          <w:sz w:val="16"/>
        </w:rPr>
      </w:pPr>
    </w:p>
    <w:p>
      <w:pPr>
        <w:pStyle w:val="7"/>
        <w:spacing w:before="3"/>
        <w:rPr>
          <w:rFonts w:ascii="Microsoft JhengHei"/>
          <w:b/>
          <w:sz w:val="19"/>
        </w:rPr>
      </w:pPr>
    </w:p>
    <w:p>
      <w:pPr>
        <w:pStyle w:val="7"/>
        <w:spacing w:line="201" w:lineRule="auto"/>
        <w:ind w:left="413" w:right="70"/>
      </w:pPr>
    </w:p>
    <w:sectPr>
      <w:headerReference r:id="rId3" w:type="default"/>
      <w:footerReference r:id="rId4" w:type="default"/>
      <w:pgSz w:w="11900" w:h="16840"/>
      <w:pgMar w:top="1440" w:right="1800" w:bottom="1440" w:left="1800" w:header="0" w:footer="66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18822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left="20" w:right="0" w:firstLine="0"/>
                            <w:jc w:val="left"/>
                            <w:rPr>
                              <w:rFonts w:ascii="Arial"/>
                              <w:sz w:val="15"/>
                            </w:rPr>
                          </w:pPr>
                          <w:r>
                            <w:rPr>
                              <w:rFonts w:ascii="Arial"/>
                              <w:w w:val="95"/>
                              <w:sz w:val="15"/>
                            </w:rPr>
                            <w:t>Chemical Book</w:t>
                          </w:r>
                        </w:p>
                      </w:txbxContent>
                    </wps:txbx>
                    <wps:bodyPr lIns="0" tIns="0" rIns="0" bIns="0" upright="1"/>
                  </wps:wsp>
                </a:graphicData>
              </a:graphic>
            </wp:anchor>
          </w:drawing>
        </mc:Choice>
        <mc:Fallback>
          <w:pict>
            <v:shape id="文本框 3" o:spid="_x0000_s1026" o:spt="202" type="#_x0000_t202" style="position:absolute;left:0pt;margin-left:272.75pt;margin-top:797.95pt;height:9.9pt;width:49.6pt;mso-position-horizontal-relative:page;mso-position-vertical-relative:page;z-index:-25212825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w9W2HbAAAADQEAAA8AAAAA&#10;AAAAAQAgAAAAIgAAAGRycy9kb3ducmV2LnhtbFBLAQIUABQAAAAIAIdO4kCzjLx1nwEAACMDAAAO&#10;AAAAAAAAAAEAIAAAACoBAABkcnMvZTJvRG9jLnhtbFBLBQYAAAAABgAGAFkBAAA7BQAAAAA=&#10;">
              <v:fill on="f" focussize="0,0"/>
              <v:stroke on="f"/>
              <v:imagedata o:title=""/>
              <o:lock v:ext="edit" aspectratio="f"/>
              <v:textbox inset="0mm,0mm,0mm,0mm">
                <w:txbxContent>
                  <w:p>
                    <w:pPr>
                      <w:spacing w:before="1"/>
                      <w:ind w:left="20" w:right="0" w:firstLine="0"/>
                      <w:jc w:val="left"/>
                      <w:rPr>
                        <w:rFonts w:ascii="Arial"/>
                        <w:sz w:val="15"/>
                      </w:rPr>
                    </w:pPr>
                    <w:r>
                      <w:rPr>
                        <w:rFonts w:ascii="Arial"/>
                        <w:w w:val="95"/>
                        <w:sz w:val="15"/>
                      </w:rPr>
                      <w:t>Chemical Book</w:t>
                    </w:r>
                  </w:p>
                </w:txbxContent>
              </v:textbox>
            </v:shape>
          </w:pict>
        </mc:Fallback>
      </mc:AlternateContent>
    </w:r>
    <w:r>
      <mc:AlternateContent>
        <mc:Choice Requires="wps">
          <w:drawing>
            <wp:anchor distT="0" distB="0" distL="114300" distR="114300" simplePos="0" relativeHeight="25118924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560.3pt;margin-top:797.95pt;height:9.9pt;width:7.95pt;mso-position-horizontal-relative:page;mso-position-vertical-relative:page;z-index:-25212723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RpnpnbAAAADwEAAA8AAAAA&#10;AAAAAQAgAAAAIgAAAGRycy9kb3ducmV2LnhtbFBLAQIUABQAAAAIAIdO4kCq5ZXNnwEAACMDAAAO&#10;AAAAAAAAAAEAIAAAACoBAABkcnMvZTJvRG9jLnhtbFBLBQYAAAAABgAGAFkBAAA7BQ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center"/>
      <w:rPr>
        <w:rFonts w:hint="eastAsia"/>
        <w:b/>
        <w:sz w:val="36"/>
        <w:szCs w:val="36"/>
        <w:lang w:val="en-US" w:eastAsia="zh-CN"/>
      </w:rPr>
    </w:pPr>
    <w:r>
      <w:rPr>
        <w:rFonts w:hint="eastAsia"/>
        <w:b/>
        <w:sz w:val="36"/>
        <w:szCs w:val="36"/>
        <w:lang w:val="en-US" w:eastAsia="zh-CN"/>
      </w:rPr>
      <w:t xml:space="preserve">    </w:t>
    </w:r>
  </w:p>
  <w:p>
    <w:pPr>
      <w:pStyle w:val="9"/>
      <w:pBdr>
        <w:bottom w:val="none" w:color="auto" w:sz="0" w:space="0"/>
      </w:pBdr>
      <w:jc w:val="center"/>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131445</wp:posOffset>
          </wp:positionH>
          <wp:positionV relativeFrom="margin">
            <wp:posOffset>-708025</wp:posOffset>
          </wp:positionV>
          <wp:extent cx="933450" cy="657225"/>
          <wp:effectExtent l="0" t="0" r="0" b="9525"/>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武汉能迈科实业有限公司</w:t>
    </w:r>
  </w:p>
  <w:p>
    <w:pPr>
      <w:pStyle w:val="9"/>
      <w:pBdr>
        <w:bottom w:val="none" w:color="auto" w:sz="0" w:space="0"/>
      </w:pBdr>
      <w:ind w:firstLine="1807" w:firstLineChars="500"/>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9"/>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8A4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1">
    <w:name w:val="Default Paragraph Font"/>
    <w:semiHidden/>
    <w:unhideWhenUsed/>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rPr>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2022-11-21T06:01:00Z</dcterms:created>
  <dc:creator>Administrator</dc:creator>
  <cp:lastModifiedBy>食秘古男吃</cp:lastModifiedBy>
  <dcterms:modified xsi:type="dcterms:W3CDTF">2022-11-21T06:43:46Z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