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化学安全技术说明书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产品名称：2-甲基肉桂酸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按照GB/T16483、GB/T17519编制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修订日期：201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年08月02日             最初编制日期：201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年8月02日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版本：1.0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16"/>
        </w:tabs>
        <w:spacing w:before="43" w:after="0" w:line="349" w:lineRule="exact"/>
        <w:ind w:left="415" w:right="0" w:hanging="295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化学品及企业标识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化学品中文名：2-甲基肉桂酸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化学品英文名：2-Methylcinnamic acid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企业名称：武汉能迈科实业有限公司</w:t>
      </w:r>
      <w:bookmarkStart w:id="2" w:name="_GoBack"/>
      <w:bookmarkEnd w:id="2"/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企业地址：武汉市江岸区塔子湖东路18号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联系电话：027-83916065</w:t>
      </w:r>
    </w:p>
    <w:p>
      <w:pPr>
        <w:pStyle w:val="2"/>
        <w:numPr>
          <w:ilvl w:val="0"/>
          <w:numId w:val="1"/>
        </w:numPr>
        <w:tabs>
          <w:tab w:val="left" w:pos="415"/>
        </w:tabs>
        <w:spacing w:before="141" w:after="0" w:line="349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危险性概述</w:t>
      </w:r>
    </w:p>
    <w:p>
      <w:pPr>
        <w:pStyle w:val="3"/>
        <w:spacing w:line="258" w:lineRule="exact"/>
        <w:ind w:left="219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GHS分类</w:t>
      </w:r>
    </w:p>
    <w:p>
      <w:pPr>
        <w:tabs>
          <w:tab w:val="left" w:pos="5331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物理性危害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未分类</w:t>
      </w:r>
    </w:p>
    <w:p>
      <w:pPr>
        <w:pStyle w:val="3"/>
        <w:ind w:left="5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健康危害</w:t>
      </w:r>
    </w:p>
    <w:p>
      <w:pPr>
        <w:tabs>
          <w:tab w:val="left" w:pos="4304"/>
        </w:tabs>
        <w:spacing w:before="0" w:line="259" w:lineRule="exact"/>
        <w:ind w:left="0" w:right="4816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皮肤腐蚀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刺激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 w:val="0"/>
          <w:spacing w:val="-1"/>
          <w:w w:val="95"/>
          <w:sz w:val="24"/>
          <w:szCs w:val="24"/>
        </w:rPr>
        <w:t>第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2级</w:t>
      </w:r>
    </w:p>
    <w:p>
      <w:pPr>
        <w:tabs>
          <w:tab w:val="left" w:pos="4304"/>
        </w:tabs>
        <w:spacing w:before="0" w:line="259" w:lineRule="exact"/>
        <w:ind w:left="0" w:right="4883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严重损伤/刺激眼睛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 w:val="0"/>
          <w:spacing w:val="-1"/>
          <w:w w:val="95"/>
          <w:sz w:val="24"/>
          <w:szCs w:val="24"/>
        </w:rPr>
        <w:t>2A类</w:t>
      </w:r>
    </w:p>
    <w:p>
      <w:pPr>
        <w:tabs>
          <w:tab w:val="left" w:pos="4815"/>
        </w:tabs>
        <w:spacing w:before="0" w:line="259" w:lineRule="exact"/>
        <w:ind w:left="0" w:right="4726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环境危害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未分类</w:t>
      </w:r>
    </w:p>
    <w:p>
      <w:pPr>
        <w:pStyle w:val="3"/>
        <w:ind w:left="22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GHS标签元素</w:t>
      </w:r>
    </w:p>
    <w:p>
      <w:pPr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anchor distT="0" distB="0" distL="0" distR="0" simplePos="0" relativeHeight="251504640" behindDoc="1" locked="0" layoutInCell="1" allowOverlap="1">
            <wp:simplePos x="0" y="0"/>
            <wp:positionH relativeFrom="page">
              <wp:posOffset>2367915</wp:posOffset>
            </wp:positionH>
            <wp:positionV relativeFrom="paragraph">
              <wp:posOffset>83820</wp:posOffset>
            </wp:positionV>
            <wp:extent cx="733425" cy="731520"/>
            <wp:effectExtent l="0" t="0" r="9525" b="1143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20" cy="73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图标或危害标志</w:t>
      </w:r>
    </w:p>
    <w:p>
      <w:pPr>
        <w:pStyle w:val="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7"/>
        <w:spacing w:before="1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tabs>
          <w:tab w:val="left" w:pos="5331"/>
        </w:tabs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信号词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警告</w:t>
      </w:r>
    </w:p>
    <w:p>
      <w:pPr>
        <w:tabs>
          <w:tab w:val="left" w:pos="5331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危险描述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造成皮肤刺激</w:t>
      </w:r>
    </w:p>
    <w:p>
      <w:pPr>
        <w:pStyle w:val="7"/>
        <w:spacing w:line="257" w:lineRule="exact"/>
        <w:ind w:left="1832" w:right="43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造成严重眼刺激</w:t>
      </w:r>
    </w:p>
    <w:p>
      <w:pPr>
        <w:pStyle w:val="3"/>
        <w:spacing w:line="261" w:lineRule="exact"/>
        <w:ind w:left="5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防范说明</w:t>
      </w:r>
    </w:p>
    <w:p>
      <w:pPr>
        <w:pStyle w:val="7"/>
        <w:tabs>
          <w:tab w:val="left" w:pos="3246"/>
        </w:tabs>
        <w:spacing w:before="25" w:line="168" w:lineRule="auto"/>
        <w:ind w:left="3246" w:right="5214" w:hanging="233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[预防]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作业后彻底洗手和洗脸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戴防护手套、眼部防护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</w:p>
    <w:p>
      <w:pPr>
        <w:pStyle w:val="7"/>
        <w:tabs>
          <w:tab w:val="left" w:pos="3246"/>
        </w:tabs>
        <w:spacing w:before="3" w:line="168" w:lineRule="auto"/>
        <w:ind w:left="3246" w:right="220" w:hanging="233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[急救措施]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如果皮肤沾染：用大量水冲洗。如果发生皮肤刺激：求医或就诊。脱掉受沾染的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衣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物，且清洗后方能再次使用。</w:t>
      </w:r>
    </w:p>
    <w:p>
      <w:pPr>
        <w:pStyle w:val="7"/>
        <w:spacing w:before="3" w:line="168" w:lineRule="auto"/>
        <w:ind w:left="3246" w:right="17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如果进入眼睛：用水小心冲洗几分钟。如果戴有隐形眼镜且可方便取出，取出隐形眼镜。继续冲洗。如果眼睛刺激持续：求医或就诊。</w:t>
      </w: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15"/>
        </w:tabs>
        <w:spacing w:before="43" w:after="0" w:line="349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成分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组成信息</w:t>
      </w:r>
    </w:p>
    <w:p>
      <w:pPr>
        <w:tabs>
          <w:tab w:val="left" w:pos="3244"/>
        </w:tabs>
        <w:spacing w:before="0" w:line="258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单一物质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混合物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单一物质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化学名(中文名)：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2-甲基肉桂酸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百分比：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&gt;98.0%(GC)(T)</w:t>
      </w:r>
    </w:p>
    <w:p>
      <w:pPr>
        <w:tabs>
          <w:tab w:val="right" w:pos="4155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CAS</w:t>
      </w: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RN</w:t>
      </w:r>
      <w:r>
        <w:rPr>
          <w:rFonts w:hint="eastAsia" w:ascii="黑体" w:hAnsi="黑体" w:eastAsia="黑体" w:cs="黑体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2373-76-4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分子式：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C10H10O2</w:t>
      </w:r>
    </w:p>
    <w:p>
      <w:pPr>
        <w:pStyle w:val="2"/>
        <w:numPr>
          <w:ilvl w:val="0"/>
          <w:numId w:val="1"/>
        </w:numPr>
        <w:tabs>
          <w:tab w:val="left" w:pos="415"/>
        </w:tabs>
        <w:spacing w:before="268" w:after="0" w:line="346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急救措施</w:t>
      </w:r>
    </w:p>
    <w:p>
      <w:pPr>
        <w:tabs>
          <w:tab w:val="left" w:pos="2935"/>
          <w:tab w:val="left" w:pos="4707"/>
          <w:tab w:val="left" w:pos="6536"/>
        </w:tabs>
        <w:spacing w:before="42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梯希爱(上海)化成工业发展有限公司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修改号码</w:t>
      </w:r>
      <w:r>
        <w:rPr>
          <w:rFonts w:hint="eastAsia" w:ascii="黑体" w:hAnsi="黑体" w:eastAsia="黑体" w:cs="黑体"/>
          <w:b w:val="0"/>
          <w:bCs w:val="0"/>
          <w:spacing w:val="-3"/>
          <w:sz w:val="24"/>
          <w:szCs w:val="24"/>
        </w:rPr>
        <w:t xml:space="preserve">：   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修订日期</w:t>
      </w:r>
      <w:r>
        <w:rPr>
          <w:rFonts w:hint="eastAsia" w:ascii="黑体" w:hAnsi="黑体" w:eastAsia="黑体" w:cs="黑体"/>
          <w:b w:val="0"/>
          <w:bCs w:val="0"/>
          <w:spacing w:val="-3"/>
          <w:sz w:val="24"/>
          <w:szCs w:val="24"/>
        </w:rPr>
        <w:t xml:space="preserve">：   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08/08/2021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Page 2 of</w:t>
      </w:r>
      <w:r>
        <w:rPr>
          <w:rFonts w:hint="eastAsia" w:ascii="黑体" w:hAnsi="黑体" w:eastAsia="黑体" w:cs="黑体"/>
          <w:b w:val="0"/>
          <w:bCs w:val="0"/>
          <w:spacing w:val="24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4</w:t>
      </w:r>
    </w:p>
    <w:p>
      <w:pPr>
        <w:pStyle w:val="7"/>
        <w:tabs>
          <w:tab w:val="left" w:pos="3244"/>
        </w:tabs>
        <w:spacing w:line="261" w:lineRule="exact"/>
        <w:ind w:left="43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吸入：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将受害者移到新鲜空气处，保持呼吸通畅，休息。若感不适请求医/就诊。</w:t>
      </w:r>
    </w:p>
    <w:p>
      <w:pPr>
        <w:pStyle w:val="7"/>
        <w:tabs>
          <w:tab w:val="left" w:pos="3244"/>
        </w:tabs>
        <w:spacing w:before="25" w:line="168" w:lineRule="auto"/>
        <w:ind w:left="3244" w:right="2163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皮肤接触：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立即去除/脱掉所有被污染的衣物。用大量肥皂和水轻轻洗</w:t>
      </w:r>
      <w:r>
        <w:rPr>
          <w:rFonts w:hint="eastAsia" w:ascii="黑体" w:hAnsi="黑体" w:eastAsia="黑体" w:cs="黑体"/>
          <w:b w:val="0"/>
          <w:bCs w:val="0"/>
          <w:spacing w:val="-17"/>
          <w:w w:val="95"/>
          <w:sz w:val="24"/>
          <w:szCs w:val="24"/>
        </w:rPr>
        <w:t xml:space="preserve">。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若皮肤刺激或发生皮疹：求医/就诊。</w:t>
      </w:r>
    </w:p>
    <w:p>
      <w:pPr>
        <w:pStyle w:val="7"/>
        <w:tabs>
          <w:tab w:val="left" w:pos="3244"/>
        </w:tabs>
        <w:spacing w:before="3" w:line="168" w:lineRule="auto"/>
        <w:ind w:left="3244" w:right="1221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眼睛接触：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用水小心清洗几分钟。如果方便，易操作，摘除隐形眼镜。继续清洗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如果眼睛刺激：求医/就诊。</w:t>
      </w:r>
    </w:p>
    <w:p>
      <w:pPr>
        <w:tabs>
          <w:tab w:val="left" w:pos="3244"/>
        </w:tabs>
        <w:spacing w:before="0" w:line="291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食入：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若感不适，求医/就诊。漱口。</w:t>
      </w:r>
    </w:p>
    <w:p>
      <w:pPr>
        <w:tabs>
          <w:tab w:val="left" w:pos="3244"/>
        </w:tabs>
        <w:spacing w:before="150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紧急救助者的防护：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救援者需要穿戴个人防护用品，比如橡胶手套和气密性护目镜。</w:t>
      </w:r>
    </w:p>
    <w:p>
      <w:pPr>
        <w:pStyle w:val="2"/>
        <w:numPr>
          <w:ilvl w:val="0"/>
          <w:numId w:val="1"/>
        </w:numPr>
        <w:tabs>
          <w:tab w:val="left" w:pos="415"/>
        </w:tabs>
        <w:spacing w:before="142" w:after="0" w:line="349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消防措施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合适的灭火剂：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干粉，泡沫，雾状水，二氧化碳</w:t>
      </w:r>
    </w:p>
    <w:p>
      <w:pPr>
        <w:pStyle w:val="7"/>
        <w:tabs>
          <w:tab w:val="left" w:pos="3244"/>
        </w:tabs>
        <w:spacing w:before="25" w:line="168" w:lineRule="auto"/>
        <w:ind w:left="3244" w:right="2819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特定方法：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从上风处灭火，根据周围环境选择合适的灭火方法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非相关人员应该撤离至安全地方。</w:t>
      </w:r>
    </w:p>
    <w:p>
      <w:pPr>
        <w:pStyle w:val="7"/>
        <w:spacing w:line="237" w:lineRule="exact"/>
        <w:ind w:left="324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周围一旦着火：如果安全，移去可移动容器。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消防员的特殊防护用具：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灭火时，一定要穿戴个人防护用品。</w:t>
      </w:r>
    </w:p>
    <w:p>
      <w:pPr>
        <w:pStyle w:val="2"/>
        <w:numPr>
          <w:ilvl w:val="0"/>
          <w:numId w:val="1"/>
        </w:numPr>
        <w:tabs>
          <w:tab w:val="left" w:pos="415"/>
        </w:tabs>
        <w:spacing w:before="142" w:after="0" w:line="346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泄漏应急处理</w:t>
      </w:r>
    </w:p>
    <w:p>
      <w:pPr>
        <w:pStyle w:val="3"/>
        <w:spacing w:before="27" w:line="168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24"/>
          <w:szCs w:val="24"/>
        </w:rPr>
        <w:t xml:space="preserve">个人防护措施，防护用具，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紧急措施：</w:t>
      </w:r>
    </w:p>
    <w:p>
      <w:pPr>
        <w:pStyle w:val="7"/>
        <w:spacing w:before="27" w:line="168" w:lineRule="auto"/>
        <w:ind w:left="373" w:right="256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使用个人防护用品。远离溢出物/</w:t>
      </w:r>
      <w:r>
        <w:rPr>
          <w:rFonts w:hint="eastAsia" w:ascii="黑体" w:hAnsi="黑体" w:eastAsia="黑体" w:cs="黑体"/>
          <w:b w:val="0"/>
          <w:bCs w:val="0"/>
          <w:spacing w:val="-2"/>
          <w:w w:val="95"/>
          <w:sz w:val="24"/>
          <w:szCs w:val="24"/>
        </w:rPr>
        <w:t xml:space="preserve">泄露处并处在上风处。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泄露区应该用安全带等圈起来，控制非相关人员进入。</w:t>
      </w:r>
    </w:p>
    <w:p>
      <w:pPr>
        <w:tabs>
          <w:tab w:val="left" w:pos="3244"/>
        </w:tabs>
        <w:spacing w:before="0" w:line="237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环保措施：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防止进入下水道。</w:t>
      </w:r>
    </w:p>
    <w:p>
      <w:pPr>
        <w:tabs>
          <w:tab w:val="left" w:pos="3244"/>
        </w:tabs>
        <w:spacing w:before="25" w:line="168" w:lineRule="auto"/>
        <w:ind w:left="3244" w:right="222" w:hanging="2811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控制和清洗的方法和材料：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清扫收集粉尘，封入密闭容器。注意切勿分散。附着物或收集物应该立即根据合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的法律法规处置。</w:t>
      </w: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16"/>
        </w:tabs>
        <w:spacing w:before="43" w:after="0" w:line="349" w:lineRule="exact"/>
        <w:ind w:left="415" w:right="0" w:hanging="295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操作处置与储存</w:t>
      </w:r>
    </w:p>
    <w:p>
      <w:pPr>
        <w:spacing w:before="0" w:line="256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>处理</w:t>
      </w:r>
    </w:p>
    <w:p>
      <w:pPr>
        <w:pStyle w:val="7"/>
        <w:tabs>
          <w:tab w:val="left" w:pos="3244"/>
        </w:tabs>
        <w:spacing w:before="28" w:line="168" w:lineRule="auto"/>
        <w:ind w:left="3244" w:right="222" w:hanging="24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技术措施：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在通风良好处进行处理。穿戴合适的防护用具。防止粉尘扩散。处理后彻底清洗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手和脸。</w:t>
      </w:r>
    </w:p>
    <w:p>
      <w:pPr>
        <w:tabs>
          <w:tab w:val="left" w:pos="3244"/>
        </w:tabs>
        <w:spacing w:before="0" w:line="237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注意事项：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如果粉尘或浮质产生，使用局部排气。</w:t>
      </w:r>
    </w:p>
    <w:p>
      <w:pPr>
        <w:tabs>
          <w:tab w:val="left" w:pos="3244"/>
        </w:tabs>
        <w:spacing w:before="0" w:line="259" w:lineRule="exact"/>
        <w:ind w:left="829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操作处置注意事项：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避免接触皮肤、眼睛和衣物。</w:t>
      </w:r>
    </w:p>
    <w:p>
      <w:pPr>
        <w:spacing w:before="0" w:line="259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>贮存</w:t>
      </w:r>
    </w:p>
    <w:p>
      <w:pPr>
        <w:pStyle w:val="7"/>
        <w:tabs>
          <w:tab w:val="left" w:pos="3244"/>
        </w:tabs>
        <w:spacing w:before="25" w:line="168" w:lineRule="auto"/>
        <w:ind w:left="3244" w:right="4017" w:hanging="24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储存条件：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保持容器密闭。存放于凉爽、阴暗处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远离不相容的材料比如氧化剂存放。</w:t>
      </w:r>
    </w:p>
    <w:p>
      <w:pPr>
        <w:tabs>
          <w:tab w:val="left" w:pos="3244"/>
        </w:tabs>
        <w:spacing w:before="0" w:line="291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包装材料：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依据法律。</w:t>
      </w:r>
    </w:p>
    <w:p>
      <w:pPr>
        <w:pStyle w:val="2"/>
        <w:numPr>
          <w:ilvl w:val="0"/>
          <w:numId w:val="1"/>
        </w:numPr>
        <w:tabs>
          <w:tab w:val="left" w:pos="416"/>
        </w:tabs>
        <w:spacing w:before="142" w:after="0" w:line="349" w:lineRule="exact"/>
        <w:ind w:left="415" w:right="0" w:hanging="295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接触控制和个体防护</w:t>
      </w:r>
    </w:p>
    <w:p>
      <w:pPr>
        <w:pStyle w:val="7"/>
        <w:tabs>
          <w:tab w:val="left" w:pos="3244"/>
        </w:tabs>
        <w:spacing w:before="24" w:line="168" w:lineRule="auto"/>
        <w:ind w:left="3244" w:right="222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工程控制：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尽可能安装封闭体系或局部排风系统，操作人员切勿直接接触。同时安装淋浴器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洗眼器。</w:t>
      </w:r>
    </w:p>
    <w:p>
      <w:pPr>
        <w:pStyle w:val="3"/>
        <w:spacing w:line="237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个人防护用品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呼吸系统防护：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防尘面具。依据当地和政府法规。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手部防护：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防护手套。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眼睛防护：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安全防护镜。如果情况需要，佩戴面具。</w:t>
      </w:r>
    </w:p>
    <w:p>
      <w:pPr>
        <w:tabs>
          <w:tab w:val="left" w:pos="3244"/>
        </w:tabs>
        <w:spacing w:before="0" w:line="313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皮肤和身体防护：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防护服。如果情况需要，穿戴防护靴。</w:t>
      </w:r>
    </w:p>
    <w:p>
      <w:pPr>
        <w:pStyle w:val="7"/>
        <w:spacing w:before="1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15"/>
        </w:tabs>
        <w:spacing w:before="1" w:after="0" w:line="346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理化特性</w:t>
      </w:r>
    </w:p>
    <w:p>
      <w:pPr>
        <w:pStyle w:val="3"/>
        <w:tabs>
          <w:tab w:val="left" w:pos="3244"/>
        </w:tabs>
        <w:spacing w:line="261" w:lineRule="exact"/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外形(20° </w:t>
      </w:r>
      <w:r>
        <w:rPr>
          <w:rFonts w:hint="eastAsia" w:ascii="黑体" w:hAnsi="黑体" w:eastAsia="黑体" w:cs="黑体"/>
          <w:b w:val="0"/>
          <w:bCs w:val="0"/>
          <w:spacing w:val="14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固体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外观：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晶体</w:t>
      </w:r>
      <w:r>
        <w:rPr>
          <w:rFonts w:hint="eastAsia" w:ascii="黑体" w:hAnsi="黑体" w:eastAsia="黑体" w:cs="黑体"/>
          <w:b w:val="0"/>
          <w:bCs w:val="0"/>
          <w:spacing w:val="1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-粉末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颜色：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白色</w:t>
      </w:r>
      <w:r>
        <w:rPr>
          <w:rFonts w:hint="eastAsia" w:ascii="黑体" w:hAnsi="黑体" w:eastAsia="黑体" w:cs="黑体"/>
          <w:b w:val="0"/>
          <w:bCs w:val="0"/>
          <w:spacing w:val="1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-极淡的黄色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气味：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pH: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无数据资料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熔点：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176°</w:t>
      </w:r>
      <w:r>
        <w:rPr>
          <w:rFonts w:hint="eastAsia" w:ascii="黑体" w:hAnsi="黑体" w:eastAsia="黑体" w:cs="黑体"/>
          <w:b w:val="0"/>
          <w:bCs w:val="0"/>
          <w:spacing w:val="12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沸点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沸程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闪点：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爆炸特性</w:t>
      </w:r>
    </w:p>
    <w:p>
      <w:pPr>
        <w:tabs>
          <w:tab w:val="left" w:pos="2415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爆炸下限：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415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爆炸上限：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810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密度：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810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</w:p>
    <w:p>
      <w:pPr>
        <w:pStyle w:val="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溶解度：</w:t>
      </w:r>
    </w:p>
    <w:p>
      <w:pPr>
        <w:tabs>
          <w:tab w:val="left" w:pos="3244"/>
        </w:tabs>
        <w:spacing w:before="0" w:line="259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[水]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[其他溶剂]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</w:p>
    <w:p>
      <w:pPr>
        <w:tabs>
          <w:tab w:val="left" w:pos="3244"/>
        </w:tabs>
        <w:spacing w:before="0" w:line="313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538"/>
        </w:tabs>
        <w:spacing w:before="141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稳定性和反应性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化学稳定性：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一般情况下稳定。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危险反应的可能性：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未报道特殊反应性。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须避免接触的物质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氧化剂</w:t>
      </w:r>
    </w:p>
    <w:p>
      <w:pPr>
        <w:tabs>
          <w:tab w:val="left" w:pos="3244"/>
        </w:tabs>
        <w:spacing w:before="0" w:line="313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危险的分解产物: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二氧化碳,</w:t>
      </w:r>
      <w:r>
        <w:rPr>
          <w:rFonts w:hint="eastAsia" w:ascii="黑体" w:hAnsi="黑体" w:eastAsia="黑体" w:cs="黑体"/>
          <w:b w:val="0"/>
          <w:bCs w:val="0"/>
          <w:spacing w:val="3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一氧化碳</w:t>
      </w:r>
    </w:p>
    <w:p>
      <w:pPr>
        <w:pStyle w:val="2"/>
        <w:numPr>
          <w:ilvl w:val="0"/>
          <w:numId w:val="1"/>
        </w:numPr>
        <w:tabs>
          <w:tab w:val="left" w:pos="538"/>
        </w:tabs>
        <w:spacing w:before="142" w:after="0" w:line="349" w:lineRule="exact"/>
        <w:ind w:left="537" w:right="0" w:hanging="417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毒理学信息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急性毒性：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pStyle w:val="3"/>
        <w:tabs>
          <w:tab w:val="left" w:pos="3244"/>
        </w:tabs>
        <w:spacing w:before="25" w:line="168" w:lineRule="auto"/>
        <w:ind w:right="6814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对皮肤腐蚀或刺激：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对眼睛严重损害或刺激：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生殖细胞致突变性：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致癌性：</w:t>
      </w:r>
    </w:p>
    <w:p>
      <w:pPr>
        <w:tabs>
          <w:tab w:val="left" w:pos="3244"/>
        </w:tabs>
        <w:spacing w:before="0" w:line="240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IARC</w:t>
      </w:r>
      <w:r>
        <w:rPr>
          <w:rFonts w:hint="eastAsia" w:ascii="黑体" w:hAnsi="黑体" w:eastAsia="黑体" w:cs="黑体"/>
          <w:b w:val="0"/>
          <w:bCs w:val="0"/>
          <w:spacing w:val="22"/>
          <w:sz w:val="24"/>
          <w:szCs w:val="24"/>
        </w:rPr>
        <w:t xml:space="preserve"> =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NTP</w:t>
      </w:r>
      <w:r>
        <w:rPr>
          <w:rFonts w:hint="eastAsia" w:ascii="黑体" w:hAnsi="黑体" w:eastAsia="黑体" w:cs="黑体"/>
          <w:b w:val="0"/>
          <w:bCs w:val="0"/>
          <w:spacing w:val="22"/>
          <w:sz w:val="24"/>
          <w:szCs w:val="24"/>
        </w:rPr>
        <w:t xml:space="preserve"> =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生殖毒性：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2"/>
        <w:numPr>
          <w:ilvl w:val="0"/>
          <w:numId w:val="1"/>
        </w:numPr>
        <w:tabs>
          <w:tab w:val="left" w:pos="538"/>
        </w:tabs>
        <w:spacing w:before="142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生态学信息</w:t>
      </w:r>
    </w:p>
    <w:p>
      <w:pPr>
        <w:pStyle w:val="3"/>
        <w:spacing w:line="258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生态毒性：</w:t>
      </w:r>
    </w:p>
    <w:p>
      <w:pPr>
        <w:tabs>
          <w:tab w:val="left" w:pos="3244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鱼类：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甲壳类：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藻类：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残留性</w:t>
      </w:r>
      <w:r>
        <w:rPr>
          <w:rFonts w:hint="eastAsia" w:ascii="黑体" w:hAnsi="黑体" w:eastAsia="黑体" w:cs="黑体"/>
          <w:b w:val="0"/>
          <w:bCs w:val="0"/>
          <w:spacing w:val="4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pacing w:val="44"/>
          <w:w w:val="9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降解性：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tabs>
          <w:tab w:val="left" w:pos="3244"/>
        </w:tabs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潜在生物累积 </w:t>
      </w:r>
      <w:r>
        <w:rPr>
          <w:rFonts w:hint="eastAsia" w:ascii="黑体" w:hAnsi="黑体" w:eastAsia="黑体" w:cs="黑体"/>
          <w:b w:val="0"/>
          <w:bCs w:val="0"/>
          <w:spacing w:val="7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(BCF):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土壤中移动性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Log</w:t>
      </w:r>
      <w:r>
        <w:rPr>
          <w:rFonts w:hint="eastAsia" w:ascii="黑体" w:hAnsi="黑体" w:eastAsia="黑体" w:cs="黑体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Pow:：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7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土壤吸收系数</w:t>
      </w:r>
      <w:r>
        <w:rPr>
          <w:rFonts w:hint="eastAsia" w:ascii="黑体" w:hAnsi="黑体" w:eastAsia="黑体" w:cs="黑体"/>
          <w:b w:val="0"/>
          <w:bCs w:val="0"/>
          <w:spacing w:val="4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(Koc)：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spacing w:before="0" w:line="302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亨利定律</w:t>
      </w:r>
    </w:p>
    <w:p>
      <w:pPr>
        <w:spacing w:before="0" w:line="213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constant(PaM</w:t>
      </w:r>
      <w:r>
        <w:rPr>
          <w:rFonts w:hint="eastAsia" w:ascii="黑体" w:hAnsi="黑体" w:eastAsia="黑体" w:cs="黑体"/>
          <w:b w:val="0"/>
          <w:bCs w:val="0"/>
          <w:position w:val="6"/>
          <w:sz w:val="24"/>
          <w:szCs w:val="24"/>
        </w:rPr>
        <w:t xml:space="preserve"> 3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/mol):</w:t>
      </w:r>
    </w:p>
    <w:p>
      <w:pPr>
        <w:pStyle w:val="7"/>
        <w:spacing w:before="8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tabs>
          <w:tab w:val="left" w:pos="538"/>
        </w:tabs>
        <w:spacing w:before="1" w:after="0" w:line="346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废弃处置</w:t>
      </w:r>
    </w:p>
    <w:p>
      <w:pPr>
        <w:spacing w:before="0" w:line="316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pStyle w:val="7"/>
        <w:spacing w:before="27" w:line="168" w:lineRule="auto"/>
        <w:ind w:left="118" w:right="30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如果可能，回收处理。请咨询当地管理部门。建议在可燃溶剂中溶解混合，在装有后燃和洗涤装置的化学焚烧炉中焚烧。废弃处置时请遵守国家、地区和当地的所有法规。</w:t>
      </w:r>
    </w:p>
    <w:p>
      <w:pPr>
        <w:pStyle w:val="2"/>
        <w:numPr>
          <w:ilvl w:val="0"/>
          <w:numId w:val="1"/>
        </w:numPr>
        <w:tabs>
          <w:tab w:val="left" w:pos="538"/>
        </w:tabs>
        <w:spacing w:before="174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运输信息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联合国分类：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与联合国分类标准不一致</w:t>
      </w:r>
    </w:p>
    <w:p>
      <w:pPr>
        <w:tabs>
          <w:tab w:val="left" w:pos="3244"/>
        </w:tabs>
        <w:spacing w:before="0" w:line="313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UN编号：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未列明</w:t>
      </w:r>
    </w:p>
    <w:p>
      <w:pPr>
        <w:pStyle w:val="7"/>
        <w:spacing w:before="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538"/>
        </w:tabs>
        <w:spacing w:before="0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法规信息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spacing w:before="24" w:line="168" w:lineRule="auto"/>
        <w:ind w:left="431" w:right="280" w:firstLine="2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《危险化学品安全管理条例》(2002年1月26日国务院发布，2011年2月16日修订): 针对危险化学品的安全使用、生产、储存、运输、装卸等方面均作了相应的规定。</w:t>
      </w:r>
    </w:p>
    <w:p>
      <w:pPr>
        <w:pStyle w:val="2"/>
        <w:numPr>
          <w:ilvl w:val="0"/>
          <w:numId w:val="1"/>
        </w:numPr>
        <w:tabs>
          <w:tab w:val="left" w:pos="538"/>
        </w:tabs>
        <w:spacing w:before="174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其他信息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3"/>
        <w:spacing w:line="258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记载内容的供参考公司</w:t>
      </w:r>
    </w:p>
    <w:p>
      <w:pPr>
        <w:pStyle w:val="7"/>
        <w:tabs>
          <w:tab w:val="left" w:pos="3244"/>
        </w:tabs>
        <w:spacing w:line="259" w:lineRule="exact"/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公司: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武汉能迈科实业有限公司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地址: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武汉市江岸区塔子湖东路18号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部门：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学术部</w:t>
      </w:r>
    </w:p>
    <w:p>
      <w:pPr>
        <w:tabs>
          <w:tab w:val="right" w:pos="4643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应急电话：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027-83916065</w:t>
      </w:r>
    </w:p>
    <w:p>
      <w:pPr>
        <w:spacing w:before="18" w:line="168" w:lineRule="auto"/>
        <w:ind w:left="118" w:right="107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该化学品安全技术说明书基于我们能收集到的信息编制而成，然而，关于数据和对危害和毒性的评估不作保证。使用前，请调查危害和毒性信息，并优先考虑使用该产品的组织、地区和国家的法律法规。</w:t>
      </w:r>
    </w:p>
    <w:p>
      <w:pPr>
        <w:spacing w:before="2" w:line="168" w:lineRule="auto"/>
        <w:ind w:left="118" w:right="152" w:firstLine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>考虑到安全问题，产品购买后应该立即使用。一些新信息或修正会后续加上。如果该产品在远超出预期使用时间后使用或者您有任何问题，请和我们联系。所陈述的警告仅仅适用于普通使用情况。如果是特殊使用情况，在普通安全措施外必须做好额外的安全防护措施。应该注意到所有化学品都具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有</w:t>
      </w:r>
      <w:r>
        <w:rPr>
          <w:rFonts w:hint="eastAsia" w:ascii="黑体" w:hAnsi="黑体" w:eastAsia="黑体" w:cs="黑体"/>
          <w:b w:val="0"/>
          <w:bCs w:val="0"/>
          <w:spacing w:val="11"/>
          <w:w w:val="65"/>
          <w:sz w:val="24"/>
          <w:szCs w:val="24"/>
        </w:rPr>
        <w:t xml:space="preserve">“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未知的危害和毒性</w:t>
      </w:r>
      <w:r>
        <w:rPr>
          <w:rFonts w:hint="eastAsia" w:ascii="黑体" w:hAnsi="黑体" w:eastAsia="黑体" w:cs="黑体"/>
          <w:b w:val="0"/>
          <w:bCs w:val="0"/>
          <w:spacing w:val="12"/>
          <w:w w:val="65"/>
          <w:sz w:val="24"/>
          <w:szCs w:val="24"/>
        </w:rPr>
        <w:t xml:space="preserve">” </w:t>
      </w: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>，在不同使用条件、储存条件下会差异很大。该产品从开封到储存到废弃整个过程须由熟悉专业知识、有经验的操作人员使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用或在专家指导下使用。每位使用者都有责任建立安全的使用环境。</w:t>
      </w:r>
    </w:p>
    <w:p>
      <w:pPr>
        <w:ind w:firstLine="1575" w:firstLineChars="750"/>
        <w:rPr>
          <w:rFonts w:hint="eastAsia" w:ascii="黑体" w:hAnsi="黑体" w:eastAsia="黑体" w:cs="黑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52672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9422765</wp:posOffset>
              </wp:positionV>
              <wp:extent cx="5961380" cy="0"/>
              <wp:effectExtent l="0" t="0" r="0" b="0"/>
              <wp:wrapNone/>
              <wp:docPr id="65" name="直接连接符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ln w="2981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3.9pt;margin-top:741.95pt;height:0pt;width:469.4pt;mso-position-horizontal-relative:page;mso-position-vertical-relative:page;z-index:-252663808;mso-width-relative:page;mso-height-relative:page;" filled="f" stroked="t" coordsize="21600,21600" o:gfxdata="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KOo2tYAAAAOAQAADwAAAAAA&#10;AAABACAAAAAiAAAAZHJzL2Rvd25yZXYueG1sUEsBAhQAFAAAAAgAh07iQNHYtivcAQAAmAMAAA4A&#10;AAAAAAAAAQAgAAAAJQEAAGRycy9lMm9Eb2MueG1sUEsFBgAAAAAGAAYAWQEAAHMFAAAAAA==&#10;">
              <v:fill on="f" focussize="0,0"/>
              <v:stroke weight="0.234724409448819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653696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9450070</wp:posOffset>
              </wp:positionV>
              <wp:extent cx="441960" cy="15367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1" w:lineRule="exact"/>
                            <w:ind w:left="20" w:right="0" w:firstLine="0"/>
                            <w:jc w:val="left"/>
                            <w:rPr>
                              <w:rFonts w:ascii="Arial" w:eastAsia="Arial"/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b/>
                              <w:sz w:val="18"/>
                            </w:rPr>
                            <w:t xml:space="preserve">页 码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7.75pt;margin-top:744.1pt;height:12.1pt;width:34.8pt;mso-position-horizontal-relative:page;mso-position-vertical-relative:page;z-index:-252662784;mso-width-relative:page;mso-height-relative:page;" filled="f" stroked="f" coordsize="21600,21600" o:gfxdata="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cOqi2wAAAA0BAAAPAAAA&#10;AAAAAAEAIAAAACIAAABkcnMvZG93bnJldi54bWxQSwECFAAUAAAACACHTuJAaLAm66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1" w:lineRule="exact"/>
                      <w:ind w:left="20" w:right="0" w:firstLine="0"/>
                      <w:jc w:val="left"/>
                      <w:rPr>
                        <w:rFonts w:ascii="Arial" w:eastAsia="Arial"/>
                        <w:b/>
                        <w:sz w:val="18"/>
                      </w:rPr>
                    </w:pPr>
                    <w:r>
                      <w:rPr>
                        <w:rFonts w:hint="eastAsia" w:ascii="Microsoft JhengHei" w:eastAsia="Microsoft JhengHei"/>
                        <w:b/>
                        <w:sz w:val="18"/>
                      </w:rPr>
                      <w:t xml:space="preserve">页 码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-692150</wp:posOffset>
          </wp:positionV>
          <wp:extent cx="933450" cy="657225"/>
          <wp:effectExtent l="19050" t="0" r="0" b="0"/>
          <wp:wrapSquare wrapText="bothSides"/>
          <wp:docPr id="7" name="图片 0" descr="QQ图片2014120910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QQ图片201412091010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  <w:szCs w:val="36"/>
      </w:rPr>
      <w:t xml:space="preserve">   武汉能迈科实业有限公司</w:t>
    </w:r>
  </w:p>
  <w:p>
    <w:pPr>
      <w:pStyle w:val="10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t xml:space="preserve">   </w:t>
    </w:r>
    <w:bookmarkStart w:id="0" w:name="OLE_LINK2"/>
    <w:bookmarkStart w:id="1" w:name="OLE_LINK1"/>
    <w:r>
      <w:rPr>
        <w:rFonts w:hint="eastAsia"/>
        <w:b/>
        <w:sz w:val="36"/>
        <w:szCs w:val="36"/>
      </w:rPr>
      <w:t xml:space="preserve">Wuhan </w:t>
    </w:r>
    <w:r>
      <w:rPr>
        <w:b/>
        <w:sz w:val="36"/>
        <w:szCs w:val="36"/>
      </w:rPr>
      <w:t xml:space="preserve">Landmark </w:t>
    </w:r>
    <w:r>
      <w:rPr>
        <w:rFonts w:hint="eastAsia"/>
        <w:b/>
        <w:sz w:val="36"/>
        <w:szCs w:val="36"/>
      </w:rPr>
      <w:t>Industrial</w:t>
    </w:r>
    <w:r>
      <w:rPr>
        <w:b/>
        <w:sz w:val="36"/>
        <w:szCs w:val="36"/>
      </w:rPr>
      <w:t xml:space="preserve"> Co., L</w:t>
    </w:r>
    <w:bookmarkEnd w:id="0"/>
    <w:bookmarkEnd w:id="1"/>
    <w:r>
      <w:rPr>
        <w:rFonts w:hint="eastAsia"/>
        <w:b/>
        <w:sz w:val="36"/>
        <w:szCs w:val="36"/>
      </w:rPr>
      <w:t>td.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5" w:hanging="294"/>
        <w:jc w:val="left"/>
      </w:pPr>
      <w:rPr>
        <w:rFonts w:hint="default" w:ascii="Microsoft JhengHei" w:hAnsi="Microsoft JhengHei" w:eastAsia="Microsoft JhengHei" w:cs="Microsoft JhengHei"/>
        <w:b/>
        <w:bCs/>
        <w:w w:val="93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44" w:hanging="29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68" w:hanging="29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92" w:hanging="29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16" w:hanging="29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64" w:hanging="29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588" w:hanging="29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12" w:hanging="29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D"/>
    <w:rsid w:val="00013C3F"/>
    <w:rsid w:val="000C4547"/>
    <w:rsid w:val="000D51A3"/>
    <w:rsid w:val="001171FE"/>
    <w:rsid w:val="00142CDD"/>
    <w:rsid w:val="00171847"/>
    <w:rsid w:val="001A6A76"/>
    <w:rsid w:val="001D1708"/>
    <w:rsid w:val="002342DA"/>
    <w:rsid w:val="002403D8"/>
    <w:rsid w:val="002D544E"/>
    <w:rsid w:val="00312AA1"/>
    <w:rsid w:val="00332728"/>
    <w:rsid w:val="0034028B"/>
    <w:rsid w:val="003443BE"/>
    <w:rsid w:val="00361EA3"/>
    <w:rsid w:val="00397D0F"/>
    <w:rsid w:val="0043418D"/>
    <w:rsid w:val="00450A0D"/>
    <w:rsid w:val="004E21D8"/>
    <w:rsid w:val="00505192"/>
    <w:rsid w:val="0050695E"/>
    <w:rsid w:val="006142BC"/>
    <w:rsid w:val="00633419"/>
    <w:rsid w:val="00740344"/>
    <w:rsid w:val="00781F86"/>
    <w:rsid w:val="00850E18"/>
    <w:rsid w:val="00857A86"/>
    <w:rsid w:val="008A6AE9"/>
    <w:rsid w:val="00975605"/>
    <w:rsid w:val="009E332C"/>
    <w:rsid w:val="00A1257D"/>
    <w:rsid w:val="00AE292A"/>
    <w:rsid w:val="00B72949"/>
    <w:rsid w:val="00B93435"/>
    <w:rsid w:val="00BC3B57"/>
    <w:rsid w:val="00C45701"/>
    <w:rsid w:val="00C869E6"/>
    <w:rsid w:val="00CA23DE"/>
    <w:rsid w:val="00CD0D67"/>
    <w:rsid w:val="00D27541"/>
    <w:rsid w:val="00D82D41"/>
    <w:rsid w:val="00E3783C"/>
    <w:rsid w:val="00E40A5C"/>
    <w:rsid w:val="00E50814"/>
    <w:rsid w:val="00E50A1A"/>
    <w:rsid w:val="00EB193E"/>
    <w:rsid w:val="00F019F6"/>
    <w:rsid w:val="00F0790F"/>
    <w:rsid w:val="00FA3CC6"/>
    <w:rsid w:val="00FE28FA"/>
    <w:rsid w:val="018C2F55"/>
    <w:rsid w:val="02B30EB8"/>
    <w:rsid w:val="07C10277"/>
    <w:rsid w:val="0E9A64E5"/>
    <w:rsid w:val="0F104907"/>
    <w:rsid w:val="16E36AA6"/>
    <w:rsid w:val="184A3647"/>
    <w:rsid w:val="1BC55A67"/>
    <w:rsid w:val="29067990"/>
    <w:rsid w:val="296319A6"/>
    <w:rsid w:val="3CF834BD"/>
    <w:rsid w:val="413F64B5"/>
    <w:rsid w:val="49B60529"/>
    <w:rsid w:val="4FF474E3"/>
    <w:rsid w:val="51031F99"/>
    <w:rsid w:val="59A62FAB"/>
    <w:rsid w:val="5B786B19"/>
    <w:rsid w:val="6B8A3349"/>
    <w:rsid w:val="6D700B1D"/>
    <w:rsid w:val="73F074E1"/>
    <w:rsid w:val="759C5F68"/>
    <w:rsid w:val="75BF6B1D"/>
    <w:rsid w:val="76D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9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1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36"/>
      <w:ind w:left="109"/>
      <w:outlineLvl w:val="2"/>
    </w:pPr>
    <w:rPr>
      <w:rFonts w:ascii="Arial" w:hAnsi="Arial" w:eastAsia="Arial" w:cs="Arial"/>
      <w:b/>
      <w:bCs/>
      <w:sz w:val="19"/>
      <w:szCs w:val="19"/>
      <w:lang w:val="zh-CN" w:eastAsia="zh-CN" w:bidi="zh-CN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qFormat/>
    <w:uiPriority w:val="1"/>
    <w:pPr>
      <w:spacing w:before="69"/>
      <w:ind w:left="114"/>
      <w:outlineLvl w:val="4"/>
    </w:pPr>
    <w:rPr>
      <w:rFonts w:ascii="Arial" w:hAnsi="Arial" w:eastAsia="Arial" w:cs="Arial"/>
      <w:sz w:val="16"/>
      <w:szCs w:val="16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109"/>
      <w:outlineLvl w:val="5"/>
    </w:pPr>
    <w:rPr>
      <w:rFonts w:ascii="Microsoft JhengHei" w:hAnsi="Microsoft JhengHei" w:eastAsia="Microsoft JhengHei" w:cs="Microsoft JhengHei"/>
      <w:b/>
      <w:bCs/>
      <w:sz w:val="14"/>
      <w:szCs w:val="14"/>
      <w:lang w:val="zh-CN" w:eastAsia="zh-CN" w:bidi="zh-CN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14"/>
      <w:szCs w:val="14"/>
      <w:lang w:val="zh-CN" w:eastAsia="zh-CN" w:bidi="zh-CN"/>
    </w:rPr>
  </w:style>
  <w:style w:type="paragraph" w:styleId="8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17">
    <w:name w:val="标题 3 Char"/>
    <w:basedOn w:val="14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9"/>
    <w:semiHidden/>
    <w:qFormat/>
    <w:uiPriority w:val="99"/>
    <w:rPr>
      <w:sz w:val="18"/>
      <w:szCs w:val="18"/>
    </w:rPr>
  </w:style>
  <w:style w:type="paragraph" w:customStyle="1" w:styleId="20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52ECA-1A66-4C53-96DE-FA1584EE5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733</Words>
  <Characters>4183</Characters>
  <Lines>34</Lines>
  <Paragraphs>9</Paragraphs>
  <TotalTime>4</TotalTime>
  <ScaleCrop>false</ScaleCrop>
  <LinksUpToDate>false</LinksUpToDate>
  <CharactersWithSpaces>4907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2020-05-25T08:49:00Z</dcterms:created>
  <dc:creator>Administrator</dc:creator>
  <cp:lastModifiedBy>妨烧兆接页</cp:lastModifiedBy>
  <dcterms:modified xsi:type="dcterms:W3CDTF">2022-11-21T08:38:17Z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