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iCs w:val="0"/>
          <w:caps w:val="0"/>
          <w:color w:val="000000"/>
          <w:spacing w:val="0"/>
          <w:sz w:val="45"/>
          <w:szCs w:val="45"/>
        </w:rPr>
      </w:pPr>
      <w:r>
        <w:rPr>
          <w:rFonts w:hint="default" w:ascii="Arial" w:hAnsi="Arial" w:cs="Arial"/>
          <w:i w:val="0"/>
          <w:iCs w:val="0"/>
          <w:caps w:val="0"/>
          <w:color w:val="000000"/>
          <w:spacing w:val="0"/>
          <w:sz w:val="45"/>
          <w:szCs w:val="45"/>
          <w:bdr w:val="none" w:color="auto" w:sz="0" w:space="0"/>
        </w:rPr>
        <w:t>对硝基肉桂酸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000000"/>
          <w:spacing w:val="0"/>
          <w:sz w:val="27"/>
          <w:szCs w:val="27"/>
        </w:rPr>
      </w:pPr>
      <w:r>
        <w:rPr>
          <w:rFonts w:hint="default" w:ascii="Arial" w:hAnsi="Arial" w:eastAsia="宋体" w:cs="Arial"/>
          <w:i w:val="0"/>
          <w:iCs w:val="0"/>
          <w:caps w:val="0"/>
          <w:color w:val="000000"/>
          <w:spacing w:val="0"/>
          <w:kern w:val="0"/>
          <w:sz w:val="27"/>
          <w:szCs w:val="27"/>
          <w:bdr w:val="none" w:color="auto" w:sz="0" w:space="0"/>
          <w:lang w:val="en-US" w:eastAsia="zh-CN" w:bidi="ar"/>
        </w:rPr>
        <w:t>化学品安全技术说明书 MSDS / SDS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888888"/>
          <w:spacing w:val="0"/>
          <w:sz w:val="21"/>
          <w:szCs w:val="21"/>
        </w:rPr>
      </w:pPr>
      <w:r>
        <w:rPr>
          <w:rFonts w:hint="default" w:ascii="Arial" w:hAnsi="Arial" w:eastAsia="宋体" w:cs="Arial"/>
          <w:i w:val="0"/>
          <w:iCs w:val="0"/>
          <w:caps w:val="0"/>
          <w:color w:val="888888"/>
          <w:spacing w:val="0"/>
          <w:kern w:val="0"/>
          <w:sz w:val="21"/>
          <w:szCs w:val="21"/>
          <w:bdr w:val="none" w:color="auto" w:sz="0" w:space="0"/>
          <w:lang w:val="en-US" w:eastAsia="zh-CN" w:bidi="ar"/>
        </w:rPr>
        <w:t>创建日期: 2021-03-12修正日期: 2021-04-08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888888"/>
          <w:spacing w:val="0"/>
          <w:kern w:val="0"/>
          <w:sz w:val="22"/>
          <w:szCs w:val="22"/>
          <w:bdr w:val="none" w:color="auto" w:sz="0" w:space="0"/>
          <w:lang w:val="en-US" w:eastAsia="zh-CN" w:bidi="ar"/>
        </w:rPr>
        <w:t>目录：</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 部分：化学品及企业标识</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"javascript:gotodetail('catalog2');"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2 部分：危险性概述</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"javascript:gotodetail('catalog3');"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3 部分：成分/组成信息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"javascript:gotodetail('catalog4');"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4 部分：急救措施</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"javascript:gotodetail('catalog5');"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5 部分：消防措施</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"javascript:gotodetail('catalog6');"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6 部分：泄露应急处理</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"javascript:gotodetail('catalog7');"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7 部分：操作处置与储存</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"javascript:gotodetail('catalog8');"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8 部分：接触控制/个体防护</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"javascript:gotodetail('catalog9');"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9 部分：理化特性</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"javascript:gotodetail('catalog10');"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10 部分：稳定性和反应性</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"javascript:gotodetail('catalog11');"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11 部分：毒理学信息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"javascript:gotodetail('catalog12');"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12 部分：生态学信息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"javascript:gotodetail('catalog13');"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13 部分：废弃处置</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"javascript:gotodetail('catalog14');"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14 部分：运输信息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"javascript:gotodetail('catalog15');"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15 部分：法规信息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"javascript:gotodetail('catalog16');"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16 部分：其他信息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 部分：化学品及企业标识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产品信息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中文名称：对硝基肉桂酸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英文名称：4-Nitrocinnamic acid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CB 号：CB0142898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CAS 号：619-89-6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EINECS Number：210-617-9</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化学别名：4-硝基肉桂酸,4-硝基肉桂酸，主要为反式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物质或混合物的相关确定用途及不建议使用的用途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已确认用途：仅用于研发。不作为药品、家庭或其它用途。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建议禁止使用：暂无</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bookmarkStart w:id="2" w:name="_GoBack"/>
      <w:bookmarkEnd w:id="2"/>
      <w: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2 部分：危险性概述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GHS危险性类别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根据全球协调系统(GHS)的规定，不是危险物质或混合物。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GHS 标签要素，包括防范说明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象形图</w:t>
      </w:r>
      <w:r>
        <w:rPr>
          <w:rFonts w:hint="default" w:ascii="Arial" w:hAnsi="Arial" w:cs="Arial"/>
          <w:i w:val="0"/>
          <w:iCs w:val="0"/>
          <w:caps w:val="0"/>
          <w:color w:val="000000"/>
          <w:spacing w:val="0"/>
          <w:sz w:val="21"/>
          <w:szCs w:val="21"/>
          <w:bdr w:val="none" w:color="auto" w:sz="0" w:space="0"/>
        </w:rPr>
        <w:drawing>
          <wp:inline distT="0" distB="0" distL="114300" distR="114300">
            <wp:extent cx="942975" cy="9429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942975" cy="9429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rPr>
        <w:drawing>
          <wp:inline distT="0" distB="0" distL="114300" distR="114300">
            <wp:extent cx="942975" cy="942975"/>
            <wp:effectExtent l="0" t="0" r="9525"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6"/>
                    <a:stretch>
                      <a:fillRect/>
                    </a:stretch>
                  </pic:blipFill>
                  <pic:spPr>
                    <a:xfrm>
                      <a:off x="0" y="0"/>
                      <a:ext cx="942975" cy="9429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rPr>
        <w:drawing>
          <wp:inline distT="0" distB="0" distL="114300" distR="114300">
            <wp:extent cx="942975" cy="942975"/>
            <wp:effectExtent l="0" t="0" r="9525" b="9525"/>
            <wp:docPr id="1"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8"/>
                    <pic:cNvPicPr>
                      <a:picLocks noChangeAspect="1"/>
                    </pic:cNvPicPr>
                  </pic:nvPicPr>
                  <pic:blipFill>
                    <a:blip r:embed="rId7"/>
                    <a:stretch>
                      <a:fillRect/>
                    </a:stretch>
                  </pic:blipFill>
                  <pic:spPr>
                    <a:xfrm>
                      <a:off x="0" y="0"/>
                      <a:ext cx="942975" cy="9429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rPr>
        <w:drawing>
          <wp:inline distT="0" distB="0" distL="114300" distR="114300">
            <wp:extent cx="942975" cy="942975"/>
            <wp:effectExtent l="0" t="0" r="9525" b="9525"/>
            <wp:docPr id="2"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59"/>
                    <pic:cNvPicPr>
                      <a:picLocks noChangeAspect="1"/>
                    </pic:cNvPicPr>
                  </pic:nvPicPr>
                  <pic:blipFill>
                    <a:blip r:embed="rId8"/>
                    <a:stretch>
                      <a:fillRect/>
                    </a:stretch>
                  </pic:blipFill>
                  <pic:spPr>
                    <a:xfrm>
                      <a:off x="0" y="0"/>
                      <a:ext cx="942975" cy="942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物理和化学危险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目前掌握信息，没有物理或化学的危险性。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健康危害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目前掌握信息，没有健康危害。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目前掌握信息，没有环境的危害。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其它危害物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 无</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31"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3 部分：成分/组成信息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中文名称：对硝基肉桂酸</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化学别名：4-硝基肉桂酸,4-硝基肉桂酸，主要为反式</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CAS 号：619-89-6</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EC number：210-617-9</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分子式：C9H7NO4</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分子量：193.16</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2"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4 部分：急救措施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必要的急救措施描述</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如果吸入,请将患者移到新鲜空气处。 如呼吸停止，进行人工呼吸。</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皮肤接触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用肥皂和大量的水冲洗。</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眼睛接触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谨慎起见用水冲洗眼睛。</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食入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切勿给失去知觉者喂食任何东西。 用水漱口。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最重要的症状和健康影响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最重要的已知症状及作用已在标签（参见章节2.2）和/或章节11中介绍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及时的医疗处理和所需的特殊处理的说明和指示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对医生的特别提示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33"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5 部分：消防措施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灭火介质</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灭火方法及灭火剂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用水雾，耐醇泡沫，干粉或二氧化碳灭火。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源于此物质或混合物的特别的危害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碳氧化物, 氮氧化物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灭火注意事项及保护措施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如有必要，佩戴自给式呼吸器进行消防作业。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NFPA 704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Arial" w:hAnsi="Arial" w:cs="Arial"/>
          <w:i w:val="0"/>
          <w:iCs w:val="0"/>
          <w:caps w:val="0"/>
          <w:color w:val="000000"/>
          <w:spacing w:val="0"/>
          <w:sz w:val="27"/>
          <w:szCs w:val="27"/>
        </w:rPr>
      </w:pPr>
      <w:r>
        <w:rPr>
          <w:rFonts w:hint="default" w:ascii="Arial" w:hAnsi="Arial" w:eastAsia="宋体" w:cs="Arial"/>
          <w:i w:val="0"/>
          <w:iCs w:val="0"/>
          <w:caps w:val="0"/>
          <w:color w:val="000000"/>
          <w:spacing w:val="0"/>
          <w:kern w:val="0"/>
          <w:sz w:val="27"/>
          <w:szCs w:val="27"/>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Arial" w:hAnsi="Arial" w:cs="Arial"/>
          <w:i w:val="0"/>
          <w:iCs w:val="0"/>
          <w:caps w:val="0"/>
          <w:color w:val="000000"/>
          <w:spacing w:val="0"/>
          <w:sz w:val="27"/>
          <w:szCs w:val="27"/>
        </w:rPr>
      </w:pPr>
      <w:r>
        <w:rPr>
          <w:rFonts w:hint="default" w:ascii="Arial" w:hAnsi="Arial" w:eastAsia="宋体" w:cs="Arial"/>
          <w:i w:val="0"/>
          <w:iCs w:val="0"/>
          <w:caps w:val="0"/>
          <w:color w:val="000000"/>
          <w:spacing w:val="0"/>
          <w:kern w:val="0"/>
          <w:sz w:val="27"/>
          <w:szCs w:val="27"/>
          <w:bdr w:val="none" w:color="auto" w:sz="0" w:space="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Arial" w:hAnsi="Arial" w:cs="Arial"/>
          <w:i w:val="0"/>
          <w:iCs w:val="0"/>
          <w:caps w:val="0"/>
          <w:color w:val="000000"/>
          <w:spacing w:val="0"/>
          <w:sz w:val="27"/>
          <w:szCs w:val="27"/>
        </w:rPr>
      </w:pPr>
      <w:r>
        <w:rPr>
          <w:rFonts w:hint="default" w:ascii="Arial" w:hAnsi="Arial" w:eastAsia="宋体" w:cs="Arial"/>
          <w:i w:val="0"/>
          <w:iCs w:val="0"/>
          <w:caps w:val="0"/>
          <w:color w:val="000000"/>
          <w:spacing w:val="0"/>
          <w:kern w:val="0"/>
          <w:sz w:val="27"/>
          <w:szCs w:val="27"/>
          <w:bdr w:val="none" w:color="auto" w:sz="0" w:space="0"/>
          <w:lang w:val="en-US" w:eastAsia="zh-CN" w:bidi="ar"/>
        </w:rPr>
        <w:t>0</w:t>
      </w:r>
    </w:p>
    <w:tbl>
      <w:tblPr>
        <w:tblW w:w="5000" w:type="pct"/>
        <w:tblCellSpacing w:w="0" w:type="dxa"/>
        <w:tblInd w:w="30" w:type="dxa"/>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shd w:val="clear"/>
        <w:tblLayout w:type="autofit"/>
        <w:tblCellMar>
          <w:top w:w="0" w:type="dxa"/>
          <w:left w:w="0" w:type="dxa"/>
          <w:bottom w:w="0" w:type="dxa"/>
          <w:right w:w="0" w:type="dxa"/>
        </w:tblCellMar>
      </w:tblPr>
      <w:tblGrid>
        <w:gridCol w:w="300"/>
        <w:gridCol w:w="1041"/>
        <w:gridCol w:w="300"/>
        <w:gridCol w:w="6905"/>
      </w:tblGrid>
      <w:tr>
        <w:tblPrEx>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00" w:type="dxa"/>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健康危害</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高浓度或持续性暴露可能导致暂时失去行为能力或可能造成持续性伤害。</w:t>
            </w:r>
          </w:p>
        </w:tc>
      </w:tr>
      <w:tr>
        <w:tblPrEx>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tblCellMar>
            <w:top w:w="0" w:type="dxa"/>
            <w:left w:w="0" w:type="dxa"/>
            <w:bottom w:w="0" w:type="dxa"/>
            <w:right w:w="0" w:type="dxa"/>
          </w:tblCellMar>
        </w:tblPrEx>
        <w:trPr>
          <w:tblCellSpacing w:w="0" w:type="dxa"/>
        </w:trPr>
        <w:tc>
          <w:tcPr>
            <w:tcW w:w="300" w:type="dxa"/>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可燃性</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不会燃烧。</w:t>
            </w:r>
          </w:p>
        </w:tc>
      </w:tr>
      <w:tr>
        <w:tblPrEx>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tblCellMar>
            <w:top w:w="0" w:type="dxa"/>
            <w:left w:w="0" w:type="dxa"/>
            <w:bottom w:w="0" w:type="dxa"/>
            <w:right w:w="0" w:type="dxa"/>
          </w:tblCellMar>
        </w:tblPrEx>
        <w:trPr>
          <w:tblCellSpacing w:w="0" w:type="dxa"/>
        </w:trPr>
        <w:tc>
          <w:tcPr>
            <w:tcW w:w="300" w:type="dxa"/>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反应活性</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w:t>
            </w: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通常情况下稳定，即使暴露于明火中也不反应，并且不与水反应。</w:t>
            </w:r>
          </w:p>
        </w:tc>
      </w:tr>
      <w:tr>
        <w:tblPrEx>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tblCellMar>
            <w:top w:w="0" w:type="dxa"/>
            <w:left w:w="0" w:type="dxa"/>
            <w:bottom w:w="0" w:type="dxa"/>
            <w:right w:w="0" w:type="dxa"/>
          </w:tblCellMar>
        </w:tblPrEx>
        <w:trPr>
          <w:tblCellSpacing w:w="0" w:type="dxa"/>
        </w:trPr>
        <w:tc>
          <w:tcPr>
            <w:tcW w:w="300" w:type="dxa"/>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c>
          <w:tcPr>
            <w:tcW w:w="0" w:type="auto"/>
            <w:tcBorders>
              <w:bottom w:val="dotted" w:color="888888"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特殊危害</w:t>
            </w:r>
          </w:p>
        </w:tc>
        <w:tc>
          <w:tcPr>
            <w:tcW w:w="0" w:type="auto"/>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c>
          <w:tcPr>
            <w:tcW w:w="0" w:type="auto"/>
            <w:tcBorders>
              <w:bottom w:val="dotted" w:color="888888" w:sz="6" w:space="0"/>
            </w:tcBorders>
            <w:shd w:val="clear"/>
            <w:tcMar>
              <w:top w:w="90" w:type="dxa"/>
              <w:left w:w="90" w:type="dxa"/>
              <w:bottom w:w="90" w:type="dxa"/>
              <w:right w:w="90" w:type="dxa"/>
            </w:tcMar>
            <w:vAlign w:val="center"/>
          </w:tcPr>
          <w:p>
            <w:pPr>
              <w:rPr>
                <w:rFonts w:hint="eastAsia" w:ascii="宋体"/>
                <w:sz w:val="24"/>
                <w:szCs w:val="24"/>
              </w:rPr>
            </w:pPr>
          </w:p>
        </w:tc>
      </w:tr>
    </w:tbl>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sz w:val="24"/>
          <w:szCs w:val="24"/>
        </w:rPr>
        <w:pict>
          <v:rect id="_x0000_i1034"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6 部分：泄露应急处理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人员防护措施、防护装备和应急处置程序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避免粉尘生成。 避免吸入蒸气、气雾或气体。有关个人防护,请看第8部分。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不要让产品进入下水道。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泄漏化学品的收容、清除方法及所使用的处置材料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扫掉和铲掉。 放入合适的封闭的容器中待处理。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参考其他部分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丢弃处理请参阅第13节。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7 部分：操作处置与储存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安全操作的注意事项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在有粉尘生成的地方,提供合适的排风设备。一般性的防火保护措施。有关预防措施，请参见章节2.2。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安全储存的条件,包括任何不兼容性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贮存在阴凉处。 使容器保持密闭，储存在干燥通风处。</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6"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8 部分：接触控制/个体防护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控制参数</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危害组成及职业接触限值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没有已知的国家规定的暴露极限。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暴露控制</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适当的技术控制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常规的工业卫生操作。</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个体防护装备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眼面防护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请使用经官方标准如NIOSH (美国) 或 EN 166(欧盟) 检测与批准的设备防护眼部。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皮肤保护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所选择的保护手套必须符合法规 (EU)2016/425 和从它衍生出来的 EN 374 标准所给出的规格。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身体保护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根据危险物质的类型，浓度和量，以及特定的工作场所选择身体保护措施。, 防护设备的类型必须根据特定工作场所中的危险物的浓度和数量来选择。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呼吸系统防护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不需要保护呼吸。如需防护粉尘损害，请使用N95型（US）或P1型（EN 143)防尘面具。 呼吸器使用经过测试并通过政府标准如NIOSH（US）或CEN（EU）的呼吸器和零件。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环境暴露的控制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不要让产品进入下水道。</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7"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9 部分：理化特性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基本的理化特性的信息</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外观与性状形状:粉末颜色:黄色</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气味无数据资料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气味阈值无数据资料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pH值无数据资料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熔点/凝固点熔点/熔点范围:289°C-分解</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初沸点和沸程无数据资料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闪点无数据资料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蒸发速率无数据资料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易燃性(固体,气体)无数据资料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蒸气压无数据资料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蒸气密度无数据资料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密度/相对密度无数据资料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水溶性无数据资料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正辛醇/水分配系数无数据资料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自燃温度无数据资料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分解温度无数据资料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黏度无数据资料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爆炸特性无数据资料</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氧化性无数据资料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其他安全信息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8"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10 部分：稳定性和反应性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稳定性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在建议的贮存条件下是稳定的。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危险反应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应避免的条件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禁配物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强氧化剂, 强碱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危险的分解产物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在着火情况下，会分解生成有害物质。 - 碳氧化物, 氮氧化物其他分解产物 - 无数据资料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當起火時:見第 5 節滅火措施.</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9"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11 部分：毒理学信息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毒理学影响的信息</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急性毒性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皮肤腐蚀/刺激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严重眼睛损伤/眼刺激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呼吸或皮肤过敏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生殖细胞致突变性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致癌性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IARC: No component of this product present at levels greater than or equal to 0.1% is identified as probable, possible or confirmed human carcinogen by IARC.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附加说明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化学物质毒性作用登记 : GE0353000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据我们所知，此化学，物理和毒性性质尚未经完整的研究。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fldChar w:fldCharType="begin"/>
      </w:r>
      <w:r>
        <w:rPr>
          <w:rFonts w:hint="default" w:ascii="Arial" w:hAnsi="Arial" w:cs="Arial"/>
          <w:i w:val="0"/>
          <w:iCs w:val="0"/>
          <w:caps w:val="0"/>
          <w:color w:val="000000"/>
          <w:spacing w:val="0"/>
          <w:sz w:val="21"/>
          <w:szCs w:val="21"/>
          <w:bdr w:val="none" w:color="auto" w:sz="0" w:space="0"/>
        </w:rPr>
        <w:instrText xml:space="preserve">INCLUDEPICTURE \d "https://www.chemicalbook.com/msds/" \* MERGEFORMATINET </w:instrText>
      </w:r>
      <w:r>
        <w:rPr>
          <w:rFonts w:hint="default" w:ascii="Arial" w:hAnsi="Arial" w:cs="Arial"/>
          <w:i w:val="0"/>
          <w:iCs w:val="0"/>
          <w:caps w:val="0"/>
          <w:color w:val="000000"/>
          <w:spacing w:val="0"/>
          <w:sz w:val="21"/>
          <w:szCs w:val="21"/>
          <w:bdr w:val="none" w:color="auto" w:sz="0" w:space="0"/>
        </w:rPr>
        <w:fldChar w:fldCharType="separate"/>
      </w:r>
      <w:r>
        <w:rPr>
          <w:rFonts w:hint="default" w:ascii="Arial" w:hAnsi="Arial" w:cs="Arial"/>
          <w:i w:val="0"/>
          <w:iCs w:val="0"/>
          <w:caps w:val="0"/>
          <w:color w:val="000000"/>
          <w:spacing w:val="0"/>
          <w:sz w:val="21"/>
          <w:szCs w:val="21"/>
          <w:bdr w:val="none" w:color="auto" w:sz="0" w:space="0"/>
        </w:rPr>
        <w:pict>
          <v:shape id="_x0000_i1040" o:spt="75" type="#_x0000_t75" style="height:24pt;width:24pt;" filled="f" coordsize="21600,21600">
            <v:path/>
            <v:fill on="f" focussize="0,0"/>
            <v:stroke/>
            <v:imagedata o:title=""/>
            <o:lock v:ext="edit" aspectratio="t"/>
            <w10:wrap type="none"/>
            <w10:anchorlock/>
          </v:shape>
        </w:pict>
      </w:r>
      <w:r>
        <w:rPr>
          <w:rFonts w:hint="default" w:ascii="Arial" w:hAnsi="Arial" w:cs="Arial"/>
          <w:i w:val="0"/>
          <w:iCs w:val="0"/>
          <w:caps w:val="0"/>
          <w:color w:val="000000"/>
          <w:spacing w:val="0"/>
          <w:sz w:val="21"/>
          <w:szCs w:val="21"/>
          <w:bdr w:val="none" w:color="auto" w:sz="0" w:space="0"/>
        </w:rPr>
        <w:fldChar w:fldCharType="end"/>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41"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12 部分：生态学信息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生态毒性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持久性和降解性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生物蓄积潜力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土壤中的迁移性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PBT和vPvB的结果评价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由于化学品安全评估未要求/未开展，因此 PBT/vPvB 评估不可用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其他环境有害作用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42"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13 部分：废弃处置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废物处理方法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000000"/>
          <w:spacing w:val="0"/>
          <w:bdr w:val="none" w:color="auto" w:sz="0" w:space="0"/>
        </w:rPr>
        <w:t>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将剩余的和不可回收的溶液交给有许可证的公司处理。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000000"/>
          <w:spacing w:val="0"/>
          <w:bdr w:val="none" w:color="auto" w:sz="0" w:space="0"/>
        </w:rPr>
        <w:t>污染包装物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按未用产品处置。</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43"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14 部分：运输信息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联合国编号 / UN number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联合国运输名称 / UN proper shipping name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ADR/RID: 非危险货物 国际海运危规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IMDG: Not dangerous goods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国际空运危规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IATA-DGR: Not dangerous goods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运输危险类别 / Transport hazard class(es)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包裹组 / Packaging group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环境危害 / Environmental hazards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ADR/RID 欧洲负责公路运输的机构/欧洲负责铁路运输的机构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国际海运危险货物规则 (IMDG)海洋污染物（是/否）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国际空运危规 : 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特殊防范措施 / Special precautions for user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请根据化学品性质选择合适的运输工具及相应的运输储存条件。运输工具应配备相应品种和数量的消防材料及泄露应急处理设备。如选择公路运输，请按规定路线行驶。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禁配物 / Incompatible materials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强氧化剂, 强碱</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44"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15 部分：法规信息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专门对此物质或混合物的安全，健康和环境的规章 / 法规适用法规</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中华人民共和国职业病防止法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职业病危害因素分类目录: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危险化学品安全管理条例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危险品化学品目录（2018）: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危险化学品环境管理登记办法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重点环境管理危险化学品目录（2014）: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麻醉药品和精神药品管理条例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麻醉药品品种目录（2013）: 未列入</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精神药品品种目录（2013）: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新化学物质环境管理办法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中国现有化学物质名录: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其它的规定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请注意废物处理也应该满足当地法规的要求。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4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16 部分：其他信息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参考文献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【1】国际化学品安全规划署：国际化学品安全卡（ICSC），网址：http://www.ilo.org/dyn/icsc/showcard.home。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【2】国际癌症研究机构，网址：http://www.iarc.fr/。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【3】OECD 全球化学品信息平台，网址：http://www.echemportal.org/echemportal/index?pageID=0&amp;request_locale=en。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【4】美国 CAMEO 化学物质数据库，网址：http://cameochemicals.noaa.gov/search/simple。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【5】美国医学图书馆:化学品标识数据库，网址：http://chem.sis.nlm.nih.gov/chemidplus/chemidlite.jsp。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【6】美国环境保护署：综合危险性信息系统，网址：http://cfpub.epa.gov/iris/。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【7】美国交通部：应急响应指南，网址：http://www.phmsa.dot.gov/hazmat/library/erg。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【8】德国GESTIS-有害物质数据库，网址：http://gestis-en.itrust.de/。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【9】Sigma-Aldrich，网址：https://www.sigmaaldrich.com/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【10】Thermo Fisher，网址：https://fscimage.fishersci.com/</w:t>
      </w:r>
    </w:p>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257175</wp:posOffset>
          </wp:positionH>
          <wp:positionV relativeFrom="margin">
            <wp:posOffset>-868045</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63FF8"/>
    <w:multiLevelType w:val="multilevel"/>
    <w:tmpl w:val="84063F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B754BEBE"/>
    <w:multiLevelType w:val="multilevel"/>
    <w:tmpl w:val="B754BE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CD193B2E"/>
    <w:multiLevelType w:val="multilevel"/>
    <w:tmpl w:val="CD193B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D5A5789F"/>
    <w:multiLevelType w:val="multilevel"/>
    <w:tmpl w:val="D5A5789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775E97B1"/>
    <w:multiLevelType w:val="multilevel"/>
    <w:tmpl w:val="775E97B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yM2RkMzY3MzhmNzRkZDRkZjljMDFlYWE3MjkzZWMifQ=="/>
  </w:docVars>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A2358F3"/>
    <w:rsid w:val="122206CB"/>
    <w:rsid w:val="26FC54A6"/>
    <w:rsid w:val="65CA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sz w:val="18"/>
      <w:szCs w:val="18"/>
    </w:rPr>
  </w:style>
  <w:style w:type="paragraph" w:styleId="6">
    <w:name w:val="footer"/>
    <w:basedOn w:val="1"/>
    <w:link w:val="17"/>
    <w:semiHidden/>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Char"/>
    <w:basedOn w:val="11"/>
    <w:link w:val="5"/>
    <w:semiHidden/>
    <w:uiPriority w:val="99"/>
    <w:rPr>
      <w:sz w:val="18"/>
      <w:szCs w:val="18"/>
    </w:rPr>
  </w:style>
  <w:style w:type="character" w:customStyle="1" w:styleId="15">
    <w:name w:val="标题 3 Char"/>
    <w:basedOn w:val="11"/>
    <w:link w:val="4"/>
    <w:uiPriority w:val="9"/>
    <w:rPr>
      <w:rFonts w:ascii="宋体" w:hAnsi="宋体" w:eastAsia="宋体" w:cs="宋体"/>
      <w:b/>
      <w:bCs/>
      <w:kern w:val="0"/>
      <w:sz w:val="27"/>
      <w:szCs w:val="27"/>
    </w:rPr>
  </w:style>
  <w:style w:type="character" w:customStyle="1" w:styleId="16">
    <w:name w:val="页眉 Char"/>
    <w:basedOn w:val="11"/>
    <w:link w:val="7"/>
    <w:qFormat/>
    <w:uiPriority w:val="99"/>
    <w:rPr>
      <w:sz w:val="18"/>
      <w:szCs w:val="18"/>
    </w:rPr>
  </w:style>
  <w:style w:type="character" w:customStyle="1" w:styleId="17">
    <w:name w:val="页脚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9</Pages>
  <Words>3001</Words>
  <Characters>3997</Characters>
  <Lines>34</Lines>
  <Paragraphs>9</Paragraphs>
  <TotalTime>12</TotalTime>
  <ScaleCrop>false</ScaleCrop>
  <LinksUpToDate>false</LinksUpToDate>
  <CharactersWithSpaces>4243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A武汉能迈科袁志成</cp:lastModifiedBy>
  <dcterms:modified xsi:type="dcterms:W3CDTF">2023-01-05T09:47:53Z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53CF59691D574C78A3D39347B1C2E9B6</vt:lpwstr>
  </property>
</Properties>
</file>