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0" w:firstLineChars="500"/>
        <w:rPr>
          <w:rFonts w:ascii="Times New Roman" w:hAnsi="黑体" w:eastAsia="黑体" w:cs="Times New Roman"/>
          <w:sz w:val="44"/>
          <w:szCs w:val="44"/>
        </w:rPr>
      </w:pPr>
    </w:p>
    <w:p>
      <w:pPr>
        <w:ind w:firstLine="2200" w:firstLineChars="500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黑体" w:eastAsia="黑体" w:cs="Times New Roman"/>
          <w:sz w:val="44"/>
          <w:szCs w:val="44"/>
        </w:rPr>
        <w:t>化学安全技术说明书</w:t>
      </w:r>
    </w:p>
    <w:p>
      <w:pPr>
        <w:rPr>
          <w:rFonts w:ascii="Times New Roman" w:hAnsi="Times New Roman" w:eastAsia="黑体" w:cs="Times New Roman"/>
          <w:sz w:val="24"/>
          <w:szCs w:val="24"/>
        </w:rPr>
      </w:pPr>
    </w:p>
    <w:p>
      <w:pPr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 xml:space="preserve">产品名称：4-溴肉桂酸                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 xml:space="preserve">    </w:t>
      </w:r>
      <w:r>
        <w:rPr>
          <w:rFonts w:ascii="Times New Roman" w:hAnsi="Times New Roman" w:eastAsia="黑体" w:cs="Times New Roman"/>
          <w:sz w:val="24"/>
          <w:szCs w:val="24"/>
        </w:rPr>
        <w:t>按照GB/T16483、GB/T17519编制</w:t>
      </w:r>
    </w:p>
    <w:p>
      <w:pPr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修订日期：201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7</w:t>
      </w:r>
      <w:r>
        <w:rPr>
          <w:rFonts w:ascii="Times New Roman" w:hAnsi="Times New Roman" w:eastAsia="黑体" w:cs="Times New Roman"/>
          <w:sz w:val="24"/>
          <w:szCs w:val="24"/>
        </w:rPr>
        <w:t>年0</w:t>
      </w:r>
      <w:r>
        <w:rPr>
          <w:rFonts w:hint="eastAsia" w:ascii="Times New Roman" w:hAnsi="Times New Roman" w:eastAsia="黑体" w:cs="Times New Roman"/>
          <w:sz w:val="24"/>
          <w:szCs w:val="24"/>
        </w:rPr>
        <w:t>8</w:t>
      </w:r>
      <w:r>
        <w:rPr>
          <w:rFonts w:ascii="Times New Roman" w:hAnsi="Times New Roman" w:eastAsia="黑体" w:cs="Times New Roman"/>
          <w:sz w:val="24"/>
          <w:szCs w:val="24"/>
        </w:rPr>
        <w:t>月02日             最初编制日期：201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7</w:t>
      </w:r>
      <w:r>
        <w:rPr>
          <w:rFonts w:ascii="Times New Roman" w:hAnsi="Times New Roman" w:eastAsia="黑体" w:cs="Times New Roman"/>
          <w:sz w:val="24"/>
          <w:szCs w:val="24"/>
        </w:rPr>
        <w:t>年</w:t>
      </w:r>
      <w:r>
        <w:rPr>
          <w:rFonts w:hint="eastAsia" w:ascii="Times New Roman" w:hAnsi="Times New Roman" w:eastAsia="黑体" w:cs="Times New Roman"/>
          <w:sz w:val="24"/>
          <w:szCs w:val="24"/>
        </w:rPr>
        <w:t>8</w:t>
      </w:r>
      <w:r>
        <w:rPr>
          <w:rFonts w:ascii="Times New Roman" w:hAnsi="Times New Roman" w:eastAsia="黑体" w:cs="Times New Roman"/>
          <w:sz w:val="24"/>
          <w:szCs w:val="24"/>
        </w:rPr>
        <w:t>月02日</w:t>
      </w:r>
    </w:p>
    <w:p>
      <w:pPr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pict>
          <v:shape id="_x0000_s1027" o:spid="_x0000_s1027" o:spt="32" type="#_x0000_t32" style="position:absolute;left:0pt;flip:y;margin-left:-6pt;margin-top:30pt;height:1.5pt;width:437.25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eastAsia="黑体" w:cs="Times New Roman"/>
          <w:sz w:val="24"/>
          <w:szCs w:val="24"/>
        </w:rPr>
        <w:t>版本：1.0</w:t>
      </w:r>
    </w:p>
    <w:p>
      <w:pPr>
        <w:rPr>
          <w:rFonts w:ascii="Times New Roman" w:hAnsi="Times New Roman" w:eastAsia="黑体" w:cs="Times New Roman"/>
          <w:sz w:val="24"/>
          <w:szCs w:val="24"/>
        </w:rPr>
      </w:pPr>
    </w:p>
    <w:p>
      <w:pPr>
        <w:rPr>
          <w:rFonts w:ascii="Times New Roman" w:hAnsi="Times New Roman" w:eastAsia="黑体" w:cs="Times New Roman"/>
          <w:sz w:val="24"/>
          <w:szCs w:val="24"/>
        </w:rPr>
      </w:pPr>
    </w:p>
    <w:p>
      <w:pPr>
        <w:numPr>
          <w:ilvl w:val="0"/>
          <w:numId w:val="1"/>
        </w:numPr>
        <w:ind w:firstLine="2400" w:firstLineChars="75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化学品及企业标识</w:t>
      </w:r>
    </w:p>
    <w:p>
      <w:pPr>
        <w:numPr>
          <w:ilvl w:val="0"/>
          <w:numId w:val="0"/>
        </w:numPr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化学品中文名：4-溴肉桂酸</w:t>
      </w:r>
    </w:p>
    <w:p>
      <w:pPr>
        <w:spacing w:line="360" w:lineRule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化学品英文名：4-Bromocinnamic acid</w:t>
      </w:r>
    </w:p>
    <w:p>
      <w:pPr>
        <w:spacing w:line="360" w:lineRule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企业名称：武汉能迈科实业有限公司</w:t>
      </w:r>
    </w:p>
    <w:p>
      <w:pPr>
        <w:spacing w:line="360" w:lineRule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企业地址：武汉市江岸区塔子湖东路18号</w:t>
      </w:r>
    </w:p>
    <w:p>
      <w:pPr>
        <w:spacing w:line="360" w:lineRule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联系电话：027-83916065</w:t>
      </w:r>
    </w:p>
    <w:p>
      <w:pPr>
        <w:rPr>
          <w:rFonts w:ascii="Times New Roman" w:hAnsi="Times New Roman" w:eastAsia="黑体" w:cs="Times New Roman"/>
          <w:sz w:val="24"/>
          <w:szCs w:val="24"/>
        </w:rPr>
      </w:pPr>
    </w:p>
    <w:p>
      <w:pPr>
        <w:ind w:firstLine="2400" w:firstLineChars="75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第2部分 危险性概述</w:t>
      </w:r>
    </w:p>
    <w:p>
      <w:pPr>
        <w:pStyle w:val="3"/>
        <w:spacing w:line="258" w:lineRule="exact"/>
        <w:ind w:left="0" w:leftChars="0" w:firstLine="0" w:firstLineChars="0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GHS分类</w:t>
      </w:r>
    </w:p>
    <w:p>
      <w:pPr>
        <w:tabs>
          <w:tab w:val="left" w:pos="5331"/>
        </w:tabs>
        <w:spacing w:before="0" w:line="259" w:lineRule="exact"/>
        <w:ind w:left="516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物理性危害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未分类</w:t>
      </w:r>
    </w:p>
    <w:p>
      <w:pPr>
        <w:pStyle w:val="3"/>
        <w:ind w:left="516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健康危害</w:t>
      </w:r>
    </w:p>
    <w:p>
      <w:pPr>
        <w:tabs>
          <w:tab w:val="left" w:pos="4304"/>
        </w:tabs>
        <w:spacing w:before="0" w:line="259" w:lineRule="exact"/>
        <w:ind w:left="0" w:right="4816" w:firstLine="0"/>
        <w:jc w:val="righ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皮肤腐蚀</w:t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/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刺激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b w:val="0"/>
          <w:bCs w:val="0"/>
          <w:spacing w:val="-1"/>
          <w:w w:val="95"/>
          <w:sz w:val="24"/>
          <w:szCs w:val="24"/>
        </w:rPr>
        <w:t>第</w:t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2级</w:t>
      </w:r>
    </w:p>
    <w:p>
      <w:pPr>
        <w:tabs>
          <w:tab w:val="left" w:pos="4304"/>
        </w:tabs>
        <w:spacing w:before="0" w:line="259" w:lineRule="exact"/>
        <w:ind w:left="0" w:right="4883" w:firstLine="0"/>
        <w:jc w:val="righ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严重损伤/刺激眼睛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b w:val="0"/>
          <w:bCs w:val="0"/>
          <w:spacing w:val="-1"/>
          <w:w w:val="95"/>
          <w:sz w:val="24"/>
          <w:szCs w:val="24"/>
        </w:rPr>
        <w:t>2A类</w:t>
      </w:r>
    </w:p>
    <w:p>
      <w:pPr>
        <w:tabs>
          <w:tab w:val="left" w:pos="4815"/>
        </w:tabs>
        <w:spacing w:before="0" w:line="259" w:lineRule="exact"/>
        <w:ind w:left="0" w:right="4726" w:firstLine="0"/>
        <w:jc w:val="righ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环境危害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未分类</w:t>
      </w:r>
    </w:p>
    <w:p>
      <w:pPr>
        <w:pStyle w:val="3"/>
        <w:ind w:left="0" w:leftChars="0" w:firstLine="0" w:firstLineChars="0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GHS标签元素</w:t>
      </w:r>
    </w:p>
    <w:p>
      <w:pPr>
        <w:spacing w:before="0" w:line="313" w:lineRule="exact"/>
        <w:ind w:left="516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图标或危害标志</w:t>
      </w:r>
    </w:p>
    <w:p>
      <w:pPr>
        <w:pStyle w:val="5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drawing>
          <wp:anchor distT="0" distB="0" distL="0" distR="0" simplePos="0" relativeHeight="251463680" behindDoc="1" locked="0" layoutInCell="1" allowOverlap="1">
            <wp:simplePos x="0" y="0"/>
            <wp:positionH relativeFrom="page">
              <wp:posOffset>2006600</wp:posOffset>
            </wp:positionH>
            <wp:positionV relativeFrom="paragraph">
              <wp:posOffset>29210</wp:posOffset>
            </wp:positionV>
            <wp:extent cx="733425" cy="731520"/>
            <wp:effectExtent l="0" t="0" r="9525" b="1143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620" cy="731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pacing w:before="17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tabs>
          <w:tab w:val="left" w:pos="5331"/>
        </w:tabs>
        <w:spacing w:before="0" w:line="313" w:lineRule="exact"/>
        <w:ind w:left="516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tabs>
          <w:tab w:val="left" w:pos="5331"/>
        </w:tabs>
        <w:spacing w:before="0" w:line="313" w:lineRule="exact"/>
        <w:ind w:left="516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信号词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警告</w:t>
      </w:r>
    </w:p>
    <w:p>
      <w:pPr>
        <w:tabs>
          <w:tab w:val="left" w:pos="5331"/>
        </w:tabs>
        <w:spacing w:before="0" w:line="259" w:lineRule="exact"/>
        <w:ind w:left="516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危险描述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造成皮肤刺激</w:t>
      </w:r>
    </w:p>
    <w:p>
      <w:pPr>
        <w:pStyle w:val="5"/>
        <w:spacing w:line="257" w:lineRule="exact"/>
        <w:ind w:left="1832" w:right="430"/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造成严重眼刺激</w:t>
      </w:r>
    </w:p>
    <w:p>
      <w:pPr>
        <w:pStyle w:val="3"/>
        <w:spacing w:line="261" w:lineRule="exact"/>
        <w:ind w:left="516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防范说明</w:t>
      </w:r>
    </w:p>
    <w:p>
      <w:pPr>
        <w:pStyle w:val="5"/>
        <w:tabs>
          <w:tab w:val="left" w:pos="3246"/>
        </w:tabs>
        <w:spacing w:before="25" w:line="168" w:lineRule="auto"/>
        <w:ind w:left="3246" w:right="5214" w:hanging="2336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[预防]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作业后彻底洗手和洗脸</w:t>
      </w:r>
      <w:r>
        <w:rPr>
          <w:rFonts w:hint="eastAsia" w:ascii="黑体" w:hAnsi="黑体" w:eastAsia="黑体" w:cs="黑体"/>
          <w:b w:val="0"/>
          <w:bCs w:val="0"/>
          <w:spacing w:val="-18"/>
          <w:sz w:val="24"/>
          <w:szCs w:val="24"/>
        </w:rPr>
        <w:t>。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戴防护手套、眼部防护</w:t>
      </w:r>
      <w:r>
        <w:rPr>
          <w:rFonts w:hint="eastAsia" w:ascii="黑体" w:hAnsi="黑体" w:eastAsia="黑体" w:cs="黑体"/>
          <w:b w:val="0"/>
          <w:bCs w:val="0"/>
          <w:spacing w:val="-18"/>
          <w:sz w:val="24"/>
          <w:szCs w:val="24"/>
        </w:rPr>
        <w:t>。</w:t>
      </w:r>
    </w:p>
    <w:p>
      <w:pPr>
        <w:pStyle w:val="5"/>
        <w:tabs>
          <w:tab w:val="left" w:pos="3246"/>
        </w:tabs>
        <w:spacing w:before="3" w:line="168" w:lineRule="auto"/>
        <w:ind w:left="3246" w:right="220" w:hanging="2336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[急救措施]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如果皮肤沾染：用大量水冲洗。如果发生皮肤刺激：求医或就诊。脱掉受沾染的</w:t>
      </w:r>
      <w:r>
        <w:rPr>
          <w:rFonts w:hint="eastAsia" w:ascii="黑体" w:hAnsi="黑体" w:eastAsia="黑体" w:cs="黑体"/>
          <w:b w:val="0"/>
          <w:bCs w:val="0"/>
          <w:spacing w:val="-18"/>
          <w:sz w:val="24"/>
          <w:szCs w:val="24"/>
        </w:rPr>
        <w:t>衣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物，且清洗后方能再次使用。</w:t>
      </w:r>
    </w:p>
    <w:p>
      <w:pPr>
        <w:pStyle w:val="5"/>
        <w:spacing w:before="3" w:line="168" w:lineRule="auto"/>
        <w:ind w:right="177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bookmarkStart w:id="2" w:name="_GoBack"/>
      <w:bookmarkEnd w:id="2"/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如果进入眼睛：用水小心冲洗几分钟。如果戴有隐形眼镜且可方便取出，取出隐形眼镜。继续冲洗。如果眼睛刺激持续：求医或就诊。</w:t>
      </w:r>
    </w:p>
    <w:p>
      <w:pPr>
        <w:pStyle w:val="5"/>
        <w:spacing w:before="2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pStyle w:val="2"/>
        <w:numPr>
          <w:ilvl w:val="0"/>
          <w:numId w:val="2"/>
        </w:numPr>
        <w:tabs>
          <w:tab w:val="left" w:pos="415"/>
        </w:tabs>
        <w:spacing w:before="43" w:after="0" w:line="349" w:lineRule="exact"/>
        <w:ind w:left="414" w:right="0" w:hanging="294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成分</w:t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/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组成信息</w:t>
      </w:r>
    </w:p>
    <w:p>
      <w:pPr>
        <w:tabs>
          <w:tab w:val="left" w:pos="3244"/>
        </w:tabs>
        <w:spacing w:before="0" w:line="258" w:lineRule="exact"/>
        <w:ind w:left="433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单一物质</w:t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/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混合物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单一物质</w:t>
      </w:r>
    </w:p>
    <w:p>
      <w:pPr>
        <w:tabs>
          <w:tab w:val="left" w:pos="3244"/>
        </w:tabs>
        <w:spacing w:before="0" w:line="259" w:lineRule="exact"/>
        <w:ind w:left="433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化学名(中文名)：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4-溴肉桂酸</w:t>
      </w:r>
    </w:p>
    <w:p>
      <w:pPr>
        <w:tabs>
          <w:tab w:val="left" w:pos="3244"/>
        </w:tabs>
        <w:spacing w:before="0" w:line="259" w:lineRule="exact"/>
        <w:ind w:left="434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百分比：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&gt;98.0%(GC)(T)</w:t>
      </w:r>
    </w:p>
    <w:p>
      <w:pPr>
        <w:tabs>
          <w:tab w:val="right" w:pos="4155"/>
        </w:tabs>
        <w:spacing w:before="0" w:line="259" w:lineRule="exact"/>
        <w:ind w:left="431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CAS</w:t>
      </w:r>
      <w:r>
        <w:rPr>
          <w:rFonts w:hint="eastAsia" w:ascii="黑体" w:hAnsi="黑体" w:eastAsia="黑体" w:cs="黑体"/>
          <w:b w:val="0"/>
          <w:bCs w:val="0"/>
          <w:spacing w:val="-1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RN</w:t>
      </w:r>
      <w:r>
        <w:rPr>
          <w:rFonts w:hint="eastAsia" w:ascii="黑体" w:hAnsi="黑体" w:eastAsia="黑体" w:cs="黑体"/>
          <w:b w:val="0"/>
          <w:bCs w:val="0"/>
          <w:spacing w:val="-3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1200-07-3</w:t>
      </w:r>
    </w:p>
    <w:p>
      <w:pPr>
        <w:tabs>
          <w:tab w:val="left" w:pos="3244"/>
        </w:tabs>
        <w:spacing w:before="0" w:line="313" w:lineRule="exact"/>
        <w:ind w:left="434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分子式：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C9H7BrO2</w:t>
      </w:r>
    </w:p>
    <w:p>
      <w:pPr>
        <w:pStyle w:val="2"/>
        <w:numPr>
          <w:ilvl w:val="0"/>
          <w:numId w:val="2"/>
        </w:numPr>
        <w:tabs>
          <w:tab w:val="left" w:pos="415"/>
        </w:tabs>
        <w:spacing w:before="268" w:after="0" w:line="346" w:lineRule="exact"/>
        <w:ind w:left="414" w:right="0" w:hanging="294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急救措施</w:t>
      </w:r>
    </w:p>
    <w:p>
      <w:pPr>
        <w:pStyle w:val="5"/>
        <w:tabs>
          <w:tab w:val="left" w:pos="3244"/>
        </w:tabs>
        <w:spacing w:line="261" w:lineRule="exact"/>
        <w:ind w:left="434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吸入：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将受害者移到新鲜空气处，保持呼吸通畅，休息。若感不适请求医/就诊。</w:t>
      </w:r>
    </w:p>
    <w:p>
      <w:pPr>
        <w:pStyle w:val="5"/>
        <w:tabs>
          <w:tab w:val="left" w:pos="3244"/>
        </w:tabs>
        <w:spacing w:before="25" w:line="168" w:lineRule="auto"/>
        <w:ind w:left="3244" w:right="2163" w:hanging="2811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皮肤接触：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立即去除/脱掉所有被污染的衣物。用大量肥皂和水轻轻洗</w:t>
      </w:r>
      <w:r>
        <w:rPr>
          <w:rFonts w:hint="eastAsia" w:ascii="黑体" w:hAnsi="黑体" w:eastAsia="黑体" w:cs="黑体"/>
          <w:b w:val="0"/>
          <w:bCs w:val="0"/>
          <w:spacing w:val="-17"/>
          <w:w w:val="95"/>
          <w:sz w:val="24"/>
          <w:szCs w:val="24"/>
        </w:rPr>
        <w:t xml:space="preserve">。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若皮肤刺激或发生皮疹：求医/就诊。</w:t>
      </w:r>
    </w:p>
    <w:p>
      <w:pPr>
        <w:pStyle w:val="5"/>
        <w:tabs>
          <w:tab w:val="left" w:pos="3244"/>
        </w:tabs>
        <w:spacing w:before="3" w:line="168" w:lineRule="auto"/>
        <w:ind w:left="3244" w:right="1221" w:hanging="2811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眼睛接触：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用水小心清洗几分钟。如果方便，易操作，摘除隐形眼镜。继续清洗</w:t>
      </w:r>
      <w:r>
        <w:rPr>
          <w:rFonts w:hint="eastAsia" w:ascii="黑体" w:hAnsi="黑体" w:eastAsia="黑体" w:cs="黑体"/>
          <w:b w:val="0"/>
          <w:bCs w:val="0"/>
          <w:spacing w:val="-18"/>
          <w:sz w:val="24"/>
          <w:szCs w:val="24"/>
        </w:rPr>
        <w:t>。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如果眼睛刺激：求医/就诊。</w:t>
      </w:r>
    </w:p>
    <w:p>
      <w:pPr>
        <w:tabs>
          <w:tab w:val="left" w:pos="3244"/>
        </w:tabs>
        <w:spacing w:before="0" w:line="291" w:lineRule="exact"/>
        <w:ind w:left="434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食入：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若感不适，求医/就诊。漱口。</w:t>
      </w:r>
    </w:p>
    <w:p>
      <w:pPr>
        <w:tabs>
          <w:tab w:val="left" w:pos="3244"/>
        </w:tabs>
        <w:spacing w:before="150"/>
        <w:ind w:left="434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紧急救助者的防护：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救援者需要穿戴个人防护用品，比如橡胶手套和气密性护目镜。</w:t>
      </w:r>
    </w:p>
    <w:p>
      <w:pPr>
        <w:pStyle w:val="2"/>
        <w:numPr>
          <w:ilvl w:val="0"/>
          <w:numId w:val="2"/>
        </w:numPr>
        <w:tabs>
          <w:tab w:val="left" w:pos="415"/>
        </w:tabs>
        <w:spacing w:before="142" w:after="0" w:line="349" w:lineRule="exact"/>
        <w:ind w:left="414" w:right="0" w:hanging="294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消防措施</w:t>
      </w:r>
    </w:p>
    <w:p>
      <w:pPr>
        <w:tabs>
          <w:tab w:val="left" w:pos="3244"/>
        </w:tabs>
        <w:spacing w:before="0" w:line="258" w:lineRule="exact"/>
        <w:ind w:left="434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合适的灭火剂：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干粉，泡沫，雾状水，二氧化碳</w:t>
      </w:r>
    </w:p>
    <w:p>
      <w:pPr>
        <w:tabs>
          <w:tab w:val="left" w:pos="3244"/>
        </w:tabs>
        <w:spacing w:before="0" w:line="259" w:lineRule="exact"/>
        <w:ind w:left="434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特殊危险性：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小心，燃烧或高温下可能分解产生毒烟。</w:t>
      </w:r>
    </w:p>
    <w:p>
      <w:pPr>
        <w:pStyle w:val="5"/>
        <w:tabs>
          <w:tab w:val="left" w:pos="3244"/>
        </w:tabs>
        <w:spacing w:before="25" w:line="168" w:lineRule="auto"/>
        <w:ind w:left="3244" w:right="2819" w:hanging="2811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特定方法：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从上风处灭火，根据周围环境选择合适的灭火方法</w:t>
      </w:r>
      <w:r>
        <w:rPr>
          <w:rFonts w:hint="eastAsia" w:ascii="黑体" w:hAnsi="黑体" w:eastAsia="黑体" w:cs="黑体"/>
          <w:b w:val="0"/>
          <w:bCs w:val="0"/>
          <w:spacing w:val="-18"/>
          <w:sz w:val="24"/>
          <w:szCs w:val="24"/>
        </w:rPr>
        <w:t>。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非相关人员应该撤离至安全地方。</w:t>
      </w:r>
    </w:p>
    <w:p>
      <w:pPr>
        <w:pStyle w:val="5"/>
        <w:spacing w:line="237" w:lineRule="exact"/>
        <w:ind w:left="3244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周围一旦着火：如果安全，移去可移动容器。</w:t>
      </w:r>
    </w:p>
    <w:p>
      <w:pPr>
        <w:tabs>
          <w:tab w:val="left" w:pos="3244"/>
        </w:tabs>
        <w:spacing w:before="0" w:line="313" w:lineRule="exact"/>
        <w:ind w:left="434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消防员的特殊防护用具：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灭火时，一定要穿戴个人防护用品。</w:t>
      </w:r>
    </w:p>
    <w:p>
      <w:pPr>
        <w:pStyle w:val="2"/>
        <w:numPr>
          <w:ilvl w:val="0"/>
          <w:numId w:val="2"/>
        </w:numPr>
        <w:tabs>
          <w:tab w:val="left" w:pos="415"/>
        </w:tabs>
        <w:spacing w:before="142" w:after="0" w:line="346" w:lineRule="exact"/>
        <w:ind w:left="414" w:right="0" w:hanging="294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泄漏应急处理</w:t>
      </w:r>
    </w:p>
    <w:p>
      <w:pPr>
        <w:pStyle w:val="3"/>
        <w:spacing w:before="27" w:line="168" w:lineRule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pacing w:val="-2"/>
          <w:sz w:val="24"/>
          <w:szCs w:val="24"/>
        </w:rPr>
        <w:t xml:space="preserve">个人防护措施，防护用具，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紧急措施：</w:t>
      </w:r>
    </w:p>
    <w:p>
      <w:pPr>
        <w:pStyle w:val="5"/>
        <w:spacing w:before="27" w:line="168" w:lineRule="auto"/>
        <w:ind w:left="373" w:right="2563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使用个人防护用品。远离溢出物/</w:t>
      </w:r>
      <w:r>
        <w:rPr>
          <w:rFonts w:hint="eastAsia" w:ascii="黑体" w:hAnsi="黑体" w:eastAsia="黑体" w:cs="黑体"/>
          <w:b w:val="0"/>
          <w:bCs w:val="0"/>
          <w:spacing w:val="-2"/>
          <w:w w:val="95"/>
          <w:sz w:val="24"/>
          <w:szCs w:val="24"/>
        </w:rPr>
        <w:t xml:space="preserve">泄露处并处在上风处。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泄露区应该用安全带等圈起来，控制非相关人员进入。</w:t>
      </w:r>
    </w:p>
    <w:p>
      <w:pPr>
        <w:tabs>
          <w:tab w:val="left" w:pos="3244"/>
        </w:tabs>
        <w:spacing w:before="0" w:line="237" w:lineRule="exact"/>
        <w:ind w:left="434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环保措施：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防止进入下水道。</w:t>
      </w:r>
    </w:p>
    <w:p>
      <w:pPr>
        <w:tabs>
          <w:tab w:val="left" w:pos="3244"/>
        </w:tabs>
        <w:spacing w:before="25" w:line="168" w:lineRule="auto"/>
        <w:ind w:left="3244" w:right="222" w:hanging="2811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控制和清洗的方法和材料：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清扫收集粉尘，封入密闭容器。注意切勿分散。附着物或收集物应该立即根据合</w:t>
      </w:r>
      <w:r>
        <w:rPr>
          <w:rFonts w:hint="eastAsia" w:ascii="黑体" w:hAnsi="黑体" w:eastAsia="黑体" w:cs="黑体"/>
          <w:b w:val="0"/>
          <w:bCs w:val="0"/>
          <w:spacing w:val="-18"/>
          <w:sz w:val="24"/>
          <w:szCs w:val="24"/>
        </w:rPr>
        <w:t>适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的法律法规处置。</w:t>
      </w:r>
    </w:p>
    <w:p>
      <w:pPr>
        <w:pStyle w:val="5"/>
        <w:spacing w:before="2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pStyle w:val="2"/>
        <w:numPr>
          <w:ilvl w:val="0"/>
          <w:numId w:val="2"/>
        </w:numPr>
        <w:tabs>
          <w:tab w:val="left" w:pos="416"/>
        </w:tabs>
        <w:spacing w:before="43" w:after="0" w:line="349" w:lineRule="exact"/>
        <w:ind w:left="415" w:right="0" w:hanging="295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操作处置与储存</w:t>
      </w:r>
    </w:p>
    <w:p>
      <w:pPr>
        <w:spacing w:before="0" w:line="256" w:lineRule="exact"/>
        <w:ind w:left="121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single"/>
        </w:rPr>
        <w:t>处理</w:t>
      </w:r>
    </w:p>
    <w:p>
      <w:pPr>
        <w:pStyle w:val="5"/>
        <w:tabs>
          <w:tab w:val="left" w:pos="3244"/>
        </w:tabs>
        <w:spacing w:before="28" w:line="168" w:lineRule="auto"/>
        <w:ind w:left="3244" w:right="222" w:hanging="2416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技术措施：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在通风良好处进行处理。穿戴合适的防护用具。防止粉尘扩散。处理后彻底清洗</w:t>
      </w:r>
      <w:r>
        <w:rPr>
          <w:rFonts w:hint="eastAsia" w:ascii="黑体" w:hAnsi="黑体" w:eastAsia="黑体" w:cs="黑体"/>
          <w:b w:val="0"/>
          <w:bCs w:val="0"/>
          <w:spacing w:val="-18"/>
          <w:sz w:val="24"/>
          <w:szCs w:val="24"/>
        </w:rPr>
        <w:t>双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手和脸。</w:t>
      </w:r>
    </w:p>
    <w:p>
      <w:pPr>
        <w:tabs>
          <w:tab w:val="left" w:pos="3244"/>
        </w:tabs>
        <w:spacing w:before="0" w:line="237" w:lineRule="exact"/>
        <w:ind w:left="828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注意事项：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如果粉尘或浮质产生，使用局部排气。</w:t>
      </w:r>
    </w:p>
    <w:p>
      <w:pPr>
        <w:tabs>
          <w:tab w:val="left" w:pos="3244"/>
        </w:tabs>
        <w:spacing w:before="0" w:line="259" w:lineRule="exact"/>
        <w:ind w:left="829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操作处置注意事项：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避免接触皮肤、眼睛和衣物。</w:t>
      </w:r>
    </w:p>
    <w:p>
      <w:pPr>
        <w:spacing w:before="0" w:line="259" w:lineRule="exact"/>
        <w:ind w:left="121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single"/>
        </w:rPr>
        <w:t>贮存</w:t>
      </w:r>
    </w:p>
    <w:p>
      <w:pPr>
        <w:pStyle w:val="5"/>
        <w:tabs>
          <w:tab w:val="left" w:pos="3244"/>
        </w:tabs>
        <w:spacing w:before="25" w:line="168" w:lineRule="auto"/>
        <w:ind w:left="3244" w:right="4017" w:hanging="2416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储存条件：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保持容器密闭。存放于凉爽、阴暗处</w:t>
      </w:r>
      <w:r>
        <w:rPr>
          <w:rFonts w:hint="eastAsia" w:ascii="黑体" w:hAnsi="黑体" w:eastAsia="黑体" w:cs="黑体"/>
          <w:b w:val="0"/>
          <w:bCs w:val="0"/>
          <w:spacing w:val="-18"/>
          <w:sz w:val="24"/>
          <w:szCs w:val="24"/>
        </w:rPr>
        <w:t>。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远离不相容的材料比如氧化剂存放。</w:t>
      </w:r>
    </w:p>
    <w:p>
      <w:pPr>
        <w:tabs>
          <w:tab w:val="left" w:pos="3244"/>
        </w:tabs>
        <w:spacing w:before="0" w:line="291" w:lineRule="exact"/>
        <w:ind w:left="828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包装材料：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依据法律。</w:t>
      </w:r>
    </w:p>
    <w:p>
      <w:pPr>
        <w:pStyle w:val="2"/>
        <w:numPr>
          <w:ilvl w:val="0"/>
          <w:numId w:val="2"/>
        </w:numPr>
        <w:tabs>
          <w:tab w:val="left" w:pos="416"/>
        </w:tabs>
        <w:spacing w:before="142" w:after="0" w:line="349" w:lineRule="exact"/>
        <w:ind w:left="415" w:right="0" w:hanging="295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接触控制和个体防护</w:t>
      </w:r>
    </w:p>
    <w:p>
      <w:pPr>
        <w:pStyle w:val="5"/>
        <w:tabs>
          <w:tab w:val="left" w:pos="3244"/>
        </w:tabs>
        <w:spacing w:before="24" w:line="168" w:lineRule="auto"/>
        <w:ind w:left="3244" w:right="222" w:hanging="2811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工程控制：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尽可能安装封闭体系或局部排风系统，操作人员切勿直接接触。同时安装淋浴器</w:t>
      </w:r>
      <w:r>
        <w:rPr>
          <w:rFonts w:hint="eastAsia" w:ascii="黑体" w:hAnsi="黑体" w:eastAsia="黑体" w:cs="黑体"/>
          <w:b w:val="0"/>
          <w:bCs w:val="0"/>
          <w:spacing w:val="-18"/>
          <w:sz w:val="24"/>
          <w:szCs w:val="24"/>
        </w:rPr>
        <w:t>和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洗眼器。</w:t>
      </w:r>
    </w:p>
    <w:p>
      <w:pPr>
        <w:pStyle w:val="3"/>
        <w:spacing w:line="237" w:lineRule="exac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个人防护用品</w:t>
      </w:r>
    </w:p>
    <w:p>
      <w:pPr>
        <w:tabs>
          <w:tab w:val="left" w:pos="3244"/>
        </w:tabs>
        <w:spacing w:before="0" w:line="259" w:lineRule="exact"/>
        <w:ind w:left="631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呼吸系统防护：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防尘面具。依据当地和政府法规。</w:t>
      </w:r>
    </w:p>
    <w:p>
      <w:pPr>
        <w:tabs>
          <w:tab w:val="left" w:pos="3244"/>
        </w:tabs>
        <w:spacing w:before="0" w:line="259" w:lineRule="exact"/>
        <w:ind w:left="631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手部防护：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防护手套。</w:t>
      </w:r>
    </w:p>
    <w:p>
      <w:pPr>
        <w:tabs>
          <w:tab w:val="left" w:pos="3244"/>
        </w:tabs>
        <w:spacing w:before="0" w:line="259" w:lineRule="exact"/>
        <w:ind w:left="631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眼睛防护：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安全防护镜。如果情况需要，佩戴面具。</w:t>
      </w:r>
    </w:p>
    <w:p>
      <w:pPr>
        <w:pStyle w:val="5"/>
        <w:spacing w:before="10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皮肤和身体防护：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防护服。如果情况需要，穿戴防护靴。</w:t>
      </w:r>
    </w:p>
    <w:p>
      <w:pPr>
        <w:pStyle w:val="2"/>
        <w:numPr>
          <w:ilvl w:val="0"/>
          <w:numId w:val="2"/>
        </w:numPr>
        <w:tabs>
          <w:tab w:val="left" w:pos="415"/>
        </w:tabs>
        <w:spacing w:before="1" w:after="0" w:line="346" w:lineRule="exact"/>
        <w:ind w:left="414" w:right="0" w:hanging="294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理化特性</w:t>
      </w:r>
    </w:p>
    <w:p>
      <w:pPr>
        <w:pStyle w:val="3"/>
        <w:tabs>
          <w:tab w:val="left" w:pos="3244"/>
        </w:tabs>
        <w:spacing w:line="261" w:lineRule="exact"/>
        <w:ind w:left="433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 xml:space="preserve">外形(20° </w:t>
      </w:r>
      <w:r>
        <w:rPr>
          <w:rFonts w:hint="eastAsia" w:ascii="黑体" w:hAnsi="黑体" w:eastAsia="黑体" w:cs="黑体"/>
          <w:b w:val="0"/>
          <w:bCs w:val="0"/>
          <w:spacing w:val="14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C)：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固体</w:t>
      </w:r>
    </w:p>
    <w:p>
      <w:pPr>
        <w:tabs>
          <w:tab w:val="left" w:pos="3244"/>
        </w:tabs>
        <w:spacing w:before="0" w:line="259" w:lineRule="exact"/>
        <w:ind w:left="434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外观：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晶体</w:t>
      </w:r>
      <w:r>
        <w:rPr>
          <w:rFonts w:hint="eastAsia" w:ascii="黑体" w:hAnsi="黑体" w:eastAsia="黑体" w:cs="黑体"/>
          <w:b w:val="0"/>
          <w:bCs w:val="0"/>
          <w:spacing w:val="18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-粉末</w:t>
      </w:r>
    </w:p>
    <w:p>
      <w:pPr>
        <w:tabs>
          <w:tab w:val="left" w:pos="3244"/>
        </w:tabs>
        <w:spacing w:before="0" w:line="259" w:lineRule="exact"/>
        <w:ind w:left="434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颜色：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白色</w:t>
      </w:r>
      <w:r>
        <w:rPr>
          <w:rFonts w:hint="eastAsia" w:ascii="黑体" w:hAnsi="黑体" w:eastAsia="黑体" w:cs="黑体"/>
          <w:b w:val="0"/>
          <w:bCs w:val="0"/>
          <w:spacing w:val="18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-极淡的黄红色</w:t>
      </w:r>
    </w:p>
    <w:p>
      <w:pPr>
        <w:tabs>
          <w:tab w:val="left" w:pos="3244"/>
        </w:tabs>
        <w:spacing w:before="0" w:line="259" w:lineRule="exact"/>
        <w:ind w:left="434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气味：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无资料</w:t>
      </w:r>
    </w:p>
    <w:p>
      <w:pPr>
        <w:tabs>
          <w:tab w:val="left" w:pos="3244"/>
        </w:tabs>
        <w:spacing w:before="0" w:line="259" w:lineRule="exact"/>
        <w:ind w:left="431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pH: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无数据资料</w:t>
      </w:r>
    </w:p>
    <w:p>
      <w:pPr>
        <w:tabs>
          <w:tab w:val="left" w:pos="3244"/>
        </w:tabs>
        <w:spacing w:before="0" w:line="259" w:lineRule="exact"/>
        <w:ind w:left="434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熔点：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tabs>
          <w:tab w:val="left" w:pos="3244"/>
        </w:tabs>
        <w:spacing w:before="0" w:line="259" w:lineRule="exact"/>
        <w:ind w:left="433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沸点</w:t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/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沸程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tabs>
          <w:tab w:val="left" w:pos="3244"/>
        </w:tabs>
        <w:spacing w:before="0" w:line="259" w:lineRule="exact"/>
        <w:ind w:left="434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闪点：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pStyle w:val="3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爆炸特性</w:t>
      </w:r>
    </w:p>
    <w:p>
      <w:pPr>
        <w:tabs>
          <w:tab w:val="left" w:pos="2415"/>
        </w:tabs>
        <w:spacing w:before="0" w:line="259" w:lineRule="exact"/>
        <w:ind w:left="0" w:right="6814" w:firstLine="0"/>
        <w:jc w:val="righ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爆炸下限：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tabs>
          <w:tab w:val="left" w:pos="2415"/>
        </w:tabs>
        <w:spacing w:before="0" w:line="259" w:lineRule="exact"/>
        <w:ind w:left="0" w:right="6814" w:firstLine="0"/>
        <w:jc w:val="righ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爆炸上限：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tabs>
          <w:tab w:val="left" w:pos="2810"/>
        </w:tabs>
        <w:spacing w:before="0" w:line="259" w:lineRule="exact"/>
        <w:ind w:left="0" w:right="6814" w:firstLine="0"/>
        <w:jc w:val="righ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密度：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pStyle w:val="3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溶解度：</w:t>
      </w:r>
    </w:p>
    <w:p>
      <w:pPr>
        <w:tabs>
          <w:tab w:val="left" w:pos="3244"/>
        </w:tabs>
        <w:spacing w:before="0" w:line="259" w:lineRule="exact"/>
        <w:ind w:left="828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[水]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tabs>
          <w:tab w:val="left" w:pos="3244"/>
        </w:tabs>
        <w:spacing w:before="0" w:line="313" w:lineRule="exact"/>
        <w:ind w:left="828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[其他溶剂]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pStyle w:val="2"/>
        <w:numPr>
          <w:ilvl w:val="0"/>
          <w:numId w:val="2"/>
        </w:numPr>
        <w:tabs>
          <w:tab w:val="left" w:pos="538"/>
        </w:tabs>
        <w:spacing w:before="141" w:after="0" w:line="349" w:lineRule="exact"/>
        <w:ind w:left="537" w:right="0" w:hanging="417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稳定性和反应性</w:t>
      </w:r>
    </w:p>
    <w:p>
      <w:pPr>
        <w:tabs>
          <w:tab w:val="left" w:pos="3244"/>
        </w:tabs>
        <w:spacing w:before="0" w:line="258" w:lineRule="exact"/>
        <w:ind w:left="434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化学稳定性：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一般情况下稳定。</w:t>
      </w:r>
    </w:p>
    <w:p>
      <w:pPr>
        <w:tabs>
          <w:tab w:val="left" w:pos="3244"/>
        </w:tabs>
        <w:spacing w:before="0" w:line="259" w:lineRule="exact"/>
        <w:ind w:left="434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危险反应的可能性：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未报道特殊反应性。</w:t>
      </w:r>
    </w:p>
    <w:p>
      <w:pPr>
        <w:tabs>
          <w:tab w:val="left" w:pos="3244"/>
        </w:tabs>
        <w:spacing w:before="0" w:line="259" w:lineRule="exact"/>
        <w:ind w:left="434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须避免接触的物质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氧化剂</w:t>
      </w:r>
    </w:p>
    <w:p>
      <w:pPr>
        <w:tabs>
          <w:tab w:val="left" w:pos="3244"/>
        </w:tabs>
        <w:spacing w:before="0" w:line="313" w:lineRule="exact"/>
        <w:ind w:left="433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危险的分解产物: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二氧化碳,</w:t>
      </w:r>
      <w:r>
        <w:rPr>
          <w:rFonts w:hint="eastAsia" w:ascii="黑体" w:hAnsi="黑体" w:eastAsia="黑体" w:cs="黑体"/>
          <w:b w:val="0"/>
          <w:bCs w:val="0"/>
          <w:spacing w:val="3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一氧化碳,</w:t>
      </w:r>
      <w:r>
        <w:rPr>
          <w:rFonts w:hint="eastAsia" w:ascii="黑体" w:hAnsi="黑体" w:eastAsia="黑体" w:cs="黑体"/>
          <w:b w:val="0"/>
          <w:bCs w:val="0"/>
          <w:spacing w:val="40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溴化氢</w:t>
      </w:r>
    </w:p>
    <w:p>
      <w:pPr>
        <w:pStyle w:val="2"/>
        <w:numPr>
          <w:ilvl w:val="0"/>
          <w:numId w:val="2"/>
        </w:numPr>
        <w:tabs>
          <w:tab w:val="left" w:pos="538"/>
        </w:tabs>
        <w:spacing w:before="142" w:after="0" w:line="349" w:lineRule="exact"/>
        <w:ind w:left="537" w:right="0" w:hanging="417"/>
        <w:jc w:val="both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毒理学信息</w:t>
      </w:r>
    </w:p>
    <w:p>
      <w:pPr>
        <w:tabs>
          <w:tab w:val="left" w:pos="3244"/>
        </w:tabs>
        <w:spacing w:before="0" w:line="258" w:lineRule="exact"/>
        <w:ind w:left="434" w:right="0" w:firstLine="0"/>
        <w:jc w:val="both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急性毒性：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无资料</w:t>
      </w:r>
    </w:p>
    <w:p>
      <w:pPr>
        <w:pStyle w:val="3"/>
        <w:tabs>
          <w:tab w:val="left" w:pos="3244"/>
        </w:tabs>
        <w:spacing w:before="25" w:line="168" w:lineRule="auto"/>
        <w:ind w:right="6814"/>
        <w:jc w:val="both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对皮肤腐蚀或刺激：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无资</w:t>
      </w:r>
      <w:r>
        <w:rPr>
          <w:rFonts w:hint="eastAsia" w:ascii="黑体" w:hAnsi="黑体" w:eastAsia="黑体" w:cs="黑体"/>
          <w:b w:val="0"/>
          <w:bCs w:val="0"/>
          <w:spacing w:val="-18"/>
          <w:sz w:val="24"/>
          <w:szCs w:val="24"/>
        </w:rPr>
        <w:t>料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对眼睛严重损害或刺激：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无资</w:t>
      </w:r>
      <w:r>
        <w:rPr>
          <w:rFonts w:hint="eastAsia" w:ascii="黑体" w:hAnsi="黑体" w:eastAsia="黑体" w:cs="黑体"/>
          <w:b w:val="0"/>
          <w:bCs w:val="0"/>
          <w:spacing w:val="-18"/>
          <w:sz w:val="24"/>
          <w:szCs w:val="24"/>
        </w:rPr>
        <w:t>料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生殖细胞致突变性：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无资</w:t>
      </w:r>
      <w:r>
        <w:rPr>
          <w:rFonts w:hint="eastAsia" w:ascii="黑体" w:hAnsi="黑体" w:eastAsia="黑体" w:cs="黑体"/>
          <w:b w:val="0"/>
          <w:bCs w:val="0"/>
          <w:spacing w:val="-18"/>
          <w:sz w:val="24"/>
          <w:szCs w:val="24"/>
        </w:rPr>
        <w:t>料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致癌性：</w:t>
      </w:r>
    </w:p>
    <w:p>
      <w:pPr>
        <w:tabs>
          <w:tab w:val="left" w:pos="3244"/>
        </w:tabs>
        <w:spacing w:before="0" w:line="240" w:lineRule="exact"/>
        <w:ind w:left="431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w w:val="9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w w:val="9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w w:val="9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w w:val="9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IARC</w:t>
      </w:r>
      <w:r>
        <w:rPr>
          <w:rFonts w:hint="eastAsia" w:ascii="黑体" w:hAnsi="黑体" w:eastAsia="黑体" w:cs="黑体"/>
          <w:b w:val="0"/>
          <w:bCs w:val="0"/>
          <w:spacing w:val="22"/>
          <w:sz w:val="24"/>
          <w:szCs w:val="24"/>
        </w:rPr>
        <w:t xml:space="preserve"> =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tabs>
          <w:tab w:val="left" w:pos="3244"/>
        </w:tabs>
        <w:spacing w:before="0" w:line="259" w:lineRule="exact"/>
        <w:ind w:left="431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w w:val="9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w w:val="9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w w:val="9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w w:val="9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NTP</w:t>
      </w:r>
      <w:r>
        <w:rPr>
          <w:rFonts w:hint="eastAsia" w:ascii="黑体" w:hAnsi="黑体" w:eastAsia="黑体" w:cs="黑体"/>
          <w:b w:val="0"/>
          <w:bCs w:val="0"/>
          <w:spacing w:val="22"/>
          <w:sz w:val="24"/>
          <w:szCs w:val="24"/>
        </w:rPr>
        <w:t xml:space="preserve"> =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tabs>
          <w:tab w:val="left" w:pos="3244"/>
        </w:tabs>
        <w:spacing w:before="0" w:line="313" w:lineRule="exact"/>
        <w:ind w:left="434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生殖毒性：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pStyle w:val="2"/>
        <w:numPr>
          <w:ilvl w:val="0"/>
          <w:numId w:val="2"/>
        </w:numPr>
        <w:tabs>
          <w:tab w:val="left" w:pos="538"/>
        </w:tabs>
        <w:spacing w:before="142" w:after="0" w:line="349" w:lineRule="exact"/>
        <w:ind w:left="537" w:right="0" w:hanging="417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生态学信息</w:t>
      </w:r>
    </w:p>
    <w:p>
      <w:pPr>
        <w:pStyle w:val="3"/>
        <w:spacing w:line="258" w:lineRule="exac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生态毒性：</w:t>
      </w:r>
    </w:p>
    <w:p>
      <w:pPr>
        <w:tabs>
          <w:tab w:val="left" w:pos="3244"/>
        </w:tabs>
        <w:spacing w:before="0" w:line="259" w:lineRule="exact"/>
        <w:ind w:left="516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鱼类：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tabs>
          <w:tab w:val="left" w:pos="3244"/>
        </w:tabs>
        <w:spacing w:before="0" w:line="259" w:lineRule="exact"/>
        <w:ind w:left="516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甲壳类：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tabs>
          <w:tab w:val="left" w:pos="3244"/>
        </w:tabs>
        <w:spacing w:before="0" w:line="259" w:lineRule="exact"/>
        <w:ind w:left="516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藻类：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tabs>
          <w:tab w:val="left" w:pos="3244"/>
        </w:tabs>
        <w:spacing w:before="0" w:line="259" w:lineRule="exact"/>
        <w:ind w:left="433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残留性</w:t>
      </w:r>
      <w:r>
        <w:rPr>
          <w:rFonts w:hint="eastAsia" w:ascii="黑体" w:hAnsi="黑体" w:eastAsia="黑体" w:cs="黑体"/>
          <w:b w:val="0"/>
          <w:bCs w:val="0"/>
          <w:spacing w:val="40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/</w:t>
      </w:r>
      <w:r>
        <w:rPr>
          <w:rFonts w:hint="eastAsia" w:ascii="黑体" w:hAnsi="黑体" w:eastAsia="黑体" w:cs="黑体"/>
          <w:b w:val="0"/>
          <w:bCs w:val="0"/>
          <w:spacing w:val="44"/>
          <w:w w:val="95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降解性：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pStyle w:val="3"/>
        <w:tabs>
          <w:tab w:val="left" w:pos="3244"/>
        </w:tabs>
        <w:ind w:left="433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 xml:space="preserve">潜在生物累积 </w:t>
      </w:r>
      <w:r>
        <w:rPr>
          <w:rFonts w:hint="eastAsia" w:ascii="黑体" w:hAnsi="黑体" w:eastAsia="黑体" w:cs="黑体"/>
          <w:b w:val="0"/>
          <w:bCs w:val="0"/>
          <w:spacing w:val="7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(BCF):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spacing w:before="0" w:line="259" w:lineRule="exact"/>
        <w:ind w:left="434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土壤中移动性</w:t>
      </w:r>
    </w:p>
    <w:p>
      <w:pPr>
        <w:tabs>
          <w:tab w:val="left" w:pos="3244"/>
        </w:tabs>
        <w:spacing w:before="0" w:line="259" w:lineRule="exact"/>
        <w:ind w:left="431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w w:val="9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w w:val="9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w w:val="9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w w:val="9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Log</w:t>
      </w:r>
      <w:r>
        <w:rPr>
          <w:rFonts w:hint="eastAsia" w:ascii="黑体" w:hAnsi="黑体" w:eastAsia="黑体" w:cs="黑体"/>
          <w:b w:val="0"/>
          <w:bCs w:val="0"/>
          <w:spacing w:val="46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Pow:：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tabs>
          <w:tab w:val="left" w:pos="3244"/>
        </w:tabs>
        <w:spacing w:before="0" w:line="257" w:lineRule="exact"/>
        <w:ind w:left="828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土壤吸收系数</w:t>
      </w:r>
      <w:r>
        <w:rPr>
          <w:rFonts w:hint="eastAsia" w:ascii="黑体" w:hAnsi="黑体" w:eastAsia="黑体" w:cs="黑体"/>
          <w:b w:val="0"/>
          <w:bCs w:val="0"/>
          <w:spacing w:val="40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(Koc)：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spacing w:before="0" w:line="302" w:lineRule="exact"/>
        <w:ind w:left="828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亨利定律</w:t>
      </w:r>
    </w:p>
    <w:p>
      <w:pPr>
        <w:spacing w:before="0" w:line="213" w:lineRule="exact"/>
        <w:ind w:left="431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w w:val="9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w w:val="9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w w:val="9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w w:val="9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 xml:space="preserve"> constant(PaM</w:t>
      </w:r>
      <w:r>
        <w:rPr>
          <w:rFonts w:hint="eastAsia" w:ascii="黑体" w:hAnsi="黑体" w:eastAsia="黑体" w:cs="黑体"/>
          <w:b w:val="0"/>
          <w:bCs w:val="0"/>
          <w:position w:val="6"/>
          <w:sz w:val="24"/>
          <w:szCs w:val="24"/>
        </w:rPr>
        <w:t xml:space="preserve"> 3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/mol):</w:t>
      </w:r>
    </w:p>
    <w:p>
      <w:pPr>
        <w:pStyle w:val="5"/>
        <w:spacing w:before="8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pStyle w:val="13"/>
        <w:numPr>
          <w:ilvl w:val="0"/>
          <w:numId w:val="2"/>
        </w:numPr>
        <w:tabs>
          <w:tab w:val="left" w:pos="538"/>
        </w:tabs>
        <w:spacing w:after="0" w:line="240" w:lineRule="auto"/>
        <w:ind w:left="0" w:right="0" w:firstLine="0" w:firstLineChars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废弃处置</w:t>
      </w:r>
    </w:p>
    <w:p>
      <w:pPr>
        <w:spacing w:before="0" w:line="316" w:lineRule="exact"/>
        <w:ind w:left="121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无资料</w:t>
      </w:r>
    </w:p>
    <w:p>
      <w:pPr>
        <w:pStyle w:val="5"/>
        <w:spacing w:before="27" w:line="168" w:lineRule="auto"/>
        <w:ind w:left="118" w:right="307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如果可能，回收处理。请咨询当地管理部门。建议在可燃溶剂中溶解混合，在装有后燃和洗涤装置的化学焚烧炉中焚烧。废弃处置时请遵守国家、地区和当地的所有法规。</w:t>
      </w:r>
    </w:p>
    <w:p>
      <w:pPr>
        <w:pStyle w:val="2"/>
        <w:numPr>
          <w:ilvl w:val="0"/>
          <w:numId w:val="2"/>
        </w:numPr>
        <w:tabs>
          <w:tab w:val="left" w:pos="538"/>
        </w:tabs>
        <w:spacing w:before="174" w:after="0" w:line="349" w:lineRule="exact"/>
        <w:ind w:left="537" w:right="0" w:hanging="417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运输信息</w:t>
      </w:r>
    </w:p>
    <w:p>
      <w:pPr>
        <w:tabs>
          <w:tab w:val="left" w:pos="3244"/>
        </w:tabs>
        <w:spacing w:before="0" w:line="258" w:lineRule="exact"/>
        <w:ind w:left="434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联合国分类：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与联合国分类标准不一致</w:t>
      </w:r>
    </w:p>
    <w:p>
      <w:pPr>
        <w:tabs>
          <w:tab w:val="left" w:pos="3244"/>
        </w:tabs>
        <w:spacing w:before="0" w:line="313" w:lineRule="exact"/>
        <w:ind w:left="433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UN编号：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未列明</w:t>
      </w:r>
    </w:p>
    <w:p>
      <w:pPr>
        <w:pStyle w:val="5"/>
        <w:spacing w:before="1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pStyle w:val="2"/>
        <w:numPr>
          <w:ilvl w:val="0"/>
          <w:numId w:val="2"/>
        </w:numPr>
        <w:tabs>
          <w:tab w:val="left" w:pos="538"/>
        </w:tabs>
        <w:spacing w:before="0" w:after="0" w:line="349" w:lineRule="exact"/>
        <w:ind w:left="537" w:right="0" w:hanging="417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法规信息</w:t>
      </w:r>
    </w:p>
    <w:p>
      <w:pPr>
        <w:spacing w:before="24" w:line="168" w:lineRule="auto"/>
        <w:ind w:left="431" w:right="280" w:firstLine="2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《危险化学品安全管理条例》(2002年1月26日国务院发布，2011年2月16日修订): 针对危险化学品的安全使用、生产、储存、运输、装卸等方面均作了相应的规定。</w:t>
      </w:r>
    </w:p>
    <w:p>
      <w:pPr>
        <w:pStyle w:val="2"/>
        <w:numPr>
          <w:ilvl w:val="0"/>
          <w:numId w:val="2"/>
        </w:numPr>
        <w:tabs>
          <w:tab w:val="left" w:pos="538"/>
        </w:tabs>
        <w:spacing w:before="174" w:after="0" w:line="349" w:lineRule="exact"/>
        <w:ind w:left="537" w:right="0" w:hanging="417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其他信息</w:t>
      </w:r>
    </w:p>
    <w:p>
      <w:pPr>
        <w:pStyle w:val="3"/>
        <w:spacing w:line="258" w:lineRule="exac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记载内容的供参考公司</w:t>
      </w:r>
    </w:p>
    <w:p>
      <w:pPr>
        <w:pStyle w:val="5"/>
        <w:tabs>
          <w:tab w:val="left" w:pos="3244"/>
        </w:tabs>
        <w:spacing w:line="259" w:lineRule="exact"/>
        <w:ind w:left="433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公司: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武汉能迈科实业有限公司</w:t>
      </w:r>
    </w:p>
    <w:p>
      <w:pPr>
        <w:tabs>
          <w:tab w:val="left" w:pos="3244"/>
        </w:tabs>
        <w:spacing w:before="0" w:line="259" w:lineRule="exact"/>
        <w:ind w:left="433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地址: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武汉市江岸区塔子湖东路18号</w:t>
      </w:r>
    </w:p>
    <w:p>
      <w:pPr>
        <w:tabs>
          <w:tab w:val="right" w:pos="4643"/>
        </w:tabs>
        <w:spacing w:before="0" w:line="259" w:lineRule="exact"/>
        <w:ind w:left="434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应急电话：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027-83916065</w:t>
      </w:r>
    </w:p>
    <w:p>
      <w:pPr>
        <w:spacing w:before="18" w:line="168" w:lineRule="auto"/>
        <w:ind w:left="118" w:right="107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该化学品安全技术说明书基于我们能收集到的信息编制而成，然而，关于数据和对危害和毒性的评估不作保证。使用前，请调查危害和毒性信息，并优先考虑使用该产品的组织、地区和国家的法律法规。</w:t>
      </w:r>
    </w:p>
    <w:p>
      <w:pPr>
        <w:spacing w:before="2" w:line="168" w:lineRule="auto"/>
        <w:ind w:left="118" w:right="152" w:firstLine="0"/>
        <w:jc w:val="both"/>
        <w:rPr>
          <w:rFonts w:ascii="Times New Roman" w:cs="Times New Roman" w:hAnsiTheme="minorEastAsia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pacing w:val="-1"/>
          <w:sz w:val="24"/>
          <w:szCs w:val="24"/>
        </w:rPr>
        <w:t>考虑到安全问题，产品购买后应该立即使用。一些新信息或修正会后续加上。如果该产品在远超出预期使用时间后使用或者您有任何问题，请和我们联系。所陈述的警告仅仅适用于普通使用情况。如果是特殊使用情况，在普通安全措施外必须做好额外的安全防护措施。应该注意到所有化学品都具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有</w:t>
      </w:r>
      <w:r>
        <w:rPr>
          <w:rFonts w:hint="eastAsia" w:ascii="黑体" w:hAnsi="黑体" w:eastAsia="黑体" w:cs="黑体"/>
          <w:b w:val="0"/>
          <w:bCs w:val="0"/>
          <w:spacing w:val="11"/>
          <w:w w:val="65"/>
          <w:sz w:val="24"/>
          <w:szCs w:val="24"/>
        </w:rPr>
        <w:t xml:space="preserve">“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未知的危害和毒性</w:t>
      </w:r>
      <w:r>
        <w:rPr>
          <w:rFonts w:hint="eastAsia" w:ascii="黑体" w:hAnsi="黑体" w:eastAsia="黑体" w:cs="黑体"/>
          <w:b w:val="0"/>
          <w:bCs w:val="0"/>
          <w:spacing w:val="12"/>
          <w:w w:val="65"/>
          <w:sz w:val="24"/>
          <w:szCs w:val="24"/>
        </w:rPr>
        <w:t xml:space="preserve">” </w:t>
      </w:r>
      <w:r>
        <w:rPr>
          <w:rFonts w:hint="eastAsia" w:ascii="黑体" w:hAnsi="黑体" w:eastAsia="黑体" w:cs="黑体"/>
          <w:b w:val="0"/>
          <w:bCs w:val="0"/>
          <w:spacing w:val="-1"/>
          <w:sz w:val="24"/>
          <w:szCs w:val="24"/>
        </w:rPr>
        <w:t>，在不同使用条件、储存条件下会差异很大。该产品从开封到储存到废弃整个过程须由熟悉专业知识、有经验的操作人员使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用或在专家指导下使用。每位使用者都有责任建立安全的使用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环境。</w:t>
      </w:r>
    </w:p>
    <w:sectPr>
      <w:headerReference r:id="rId3" w:type="default"/>
      <w:pgSz w:w="11906" w:h="16838"/>
      <w:pgMar w:top="1440" w:right="1800" w:bottom="1440" w:left="1800" w:header="851" w:footer="992" w:gutter="0"/>
      <w:pgNumType w:start="1"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swiss"/>
    <w:pitch w:val="default"/>
    <w:sig w:usb0="800002A7" w:usb1="28CF4400" w:usb2="00000016" w:usb3="00000000" w:csb0="00100009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723"/>
      <w:rPr>
        <w:b/>
        <w:sz w:val="36"/>
        <w:szCs w:val="36"/>
      </w:rPr>
    </w:pPr>
    <w:r>
      <w:rPr>
        <w:rFonts w:hint="eastAsia"/>
        <w:b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431800</wp:posOffset>
          </wp:positionH>
          <wp:positionV relativeFrom="margin">
            <wp:posOffset>-839470</wp:posOffset>
          </wp:positionV>
          <wp:extent cx="933450" cy="657225"/>
          <wp:effectExtent l="19050" t="0" r="0" b="0"/>
          <wp:wrapSquare wrapText="bothSides"/>
          <wp:docPr id="7" name="图片 0" descr="QQ图片20141209101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0" descr="QQ图片2014120910100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5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b/>
        <w:sz w:val="36"/>
        <w:szCs w:val="36"/>
      </w:rPr>
      <w:t xml:space="preserve">   武汉能迈科实业有限公司</w:t>
    </w:r>
  </w:p>
  <w:p>
    <w:pPr>
      <w:pStyle w:val="8"/>
      <w:pBdr>
        <w:bottom w:val="none" w:color="auto" w:sz="0" w:space="0"/>
      </w:pBdr>
      <w:ind w:firstLine="723"/>
      <w:rPr>
        <w:b/>
        <w:sz w:val="36"/>
        <w:szCs w:val="36"/>
      </w:rPr>
    </w:pPr>
    <w:r>
      <w:rPr>
        <w:rFonts w:hint="eastAsia"/>
        <w:b/>
        <w:sz w:val="36"/>
        <w:szCs w:val="36"/>
      </w:rPr>
      <w:t xml:space="preserve">   </w:t>
    </w:r>
    <w:bookmarkStart w:id="0" w:name="OLE_LINK1"/>
    <w:bookmarkStart w:id="1" w:name="OLE_LINK2"/>
    <w:r>
      <w:rPr>
        <w:rFonts w:hint="eastAsia"/>
        <w:b/>
        <w:sz w:val="36"/>
        <w:szCs w:val="36"/>
      </w:rPr>
      <w:t xml:space="preserve">Wuhan </w:t>
    </w:r>
    <w:r>
      <w:rPr>
        <w:b/>
        <w:sz w:val="36"/>
        <w:szCs w:val="36"/>
      </w:rPr>
      <w:t xml:space="preserve">Landmark </w:t>
    </w:r>
    <w:r>
      <w:rPr>
        <w:rFonts w:hint="eastAsia"/>
        <w:b/>
        <w:sz w:val="36"/>
        <w:szCs w:val="36"/>
      </w:rPr>
      <w:t>Industrial</w:t>
    </w:r>
    <w:r>
      <w:rPr>
        <w:b/>
        <w:sz w:val="36"/>
        <w:szCs w:val="36"/>
      </w:rPr>
      <w:t xml:space="preserve"> Co., L</w:t>
    </w:r>
    <w:bookmarkEnd w:id="0"/>
    <w:bookmarkEnd w:id="1"/>
    <w:r>
      <w:rPr>
        <w:rFonts w:hint="eastAsia"/>
        <w:b/>
        <w:sz w:val="36"/>
        <w:szCs w:val="36"/>
      </w:rPr>
      <w:t>td.</w:t>
    </w:r>
  </w:p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15" w:hanging="294"/>
        <w:jc w:val="left"/>
      </w:pPr>
      <w:rPr>
        <w:rFonts w:hint="default" w:ascii="Microsoft JhengHei" w:hAnsi="Microsoft JhengHei" w:eastAsia="Microsoft JhengHei" w:cs="Microsoft JhengHei"/>
        <w:b/>
        <w:bCs/>
        <w:w w:val="93"/>
        <w:sz w:val="22"/>
        <w:szCs w:val="22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444" w:hanging="294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468" w:hanging="294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492" w:hanging="294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516" w:hanging="294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540" w:hanging="294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564" w:hanging="294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588" w:hanging="294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612" w:hanging="294"/>
      </w:pPr>
      <w:rPr>
        <w:rFonts w:hint="default"/>
        <w:lang w:val="en-US" w:eastAsia="en-US" w:bidi="en-US"/>
      </w:rPr>
    </w:lvl>
  </w:abstractNum>
  <w:abstractNum w:abstractNumId="1">
    <w:nsid w:val="550E5F2C"/>
    <w:multiLevelType w:val="singleLevel"/>
    <w:tmpl w:val="550E5F2C"/>
    <w:lvl w:ilvl="0" w:tentative="0">
      <w:start w:val="1"/>
      <w:numFmt w:val="decimal"/>
      <w:suff w:val="space"/>
      <w:lvlText w:val="第%1部分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42CDD"/>
    <w:rsid w:val="000D51A3"/>
    <w:rsid w:val="001171FE"/>
    <w:rsid w:val="00142CDD"/>
    <w:rsid w:val="001A6A76"/>
    <w:rsid w:val="001D1708"/>
    <w:rsid w:val="002342DA"/>
    <w:rsid w:val="002403D8"/>
    <w:rsid w:val="00332728"/>
    <w:rsid w:val="003443BE"/>
    <w:rsid w:val="00361EA3"/>
    <w:rsid w:val="00397D0F"/>
    <w:rsid w:val="0043418D"/>
    <w:rsid w:val="00450A0D"/>
    <w:rsid w:val="00505192"/>
    <w:rsid w:val="0050695E"/>
    <w:rsid w:val="006142BC"/>
    <w:rsid w:val="00633419"/>
    <w:rsid w:val="00781F86"/>
    <w:rsid w:val="00850E18"/>
    <w:rsid w:val="00857A86"/>
    <w:rsid w:val="008A6AE9"/>
    <w:rsid w:val="009E332C"/>
    <w:rsid w:val="00A1257D"/>
    <w:rsid w:val="00AE292A"/>
    <w:rsid w:val="00B72949"/>
    <w:rsid w:val="00B93435"/>
    <w:rsid w:val="00BC3B57"/>
    <w:rsid w:val="00C45701"/>
    <w:rsid w:val="00CA23DE"/>
    <w:rsid w:val="00CD0D67"/>
    <w:rsid w:val="00D27541"/>
    <w:rsid w:val="00D82D41"/>
    <w:rsid w:val="00E3783C"/>
    <w:rsid w:val="00E40A5C"/>
    <w:rsid w:val="00E50A1A"/>
    <w:rsid w:val="00EB193E"/>
    <w:rsid w:val="00F019F6"/>
    <w:rsid w:val="00F0790F"/>
    <w:rsid w:val="00FA3CC6"/>
    <w:rsid w:val="00FE28FA"/>
    <w:rsid w:val="03DF0224"/>
    <w:rsid w:val="457E76FB"/>
    <w:rsid w:val="45F067C0"/>
    <w:rsid w:val="62F45106"/>
    <w:rsid w:val="643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42" w:line="349" w:lineRule="exact"/>
      <w:ind w:left="537" w:hanging="417"/>
      <w:outlineLvl w:val="1"/>
    </w:pPr>
    <w:rPr>
      <w:rFonts w:ascii="Microsoft JhengHei" w:hAnsi="Microsoft JhengHei" w:eastAsia="Microsoft JhengHei" w:cs="Microsoft JhengHei"/>
      <w:b/>
      <w:bCs/>
      <w:sz w:val="22"/>
      <w:szCs w:val="22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spacing w:line="259" w:lineRule="exact"/>
      <w:ind w:left="434"/>
      <w:outlineLvl w:val="2"/>
    </w:pPr>
    <w:rPr>
      <w:rFonts w:ascii="Microsoft JhengHei" w:hAnsi="Microsoft JhengHei" w:eastAsia="Microsoft JhengHei" w:cs="Microsoft JhengHei"/>
      <w:b/>
      <w:bCs/>
      <w:sz w:val="20"/>
      <w:szCs w:val="20"/>
      <w:lang w:val="en-US" w:eastAsia="en-US" w:bidi="en-US"/>
    </w:rPr>
  </w:style>
  <w:style w:type="paragraph" w:styleId="4">
    <w:name w:val="heading 3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Microsoft JhengHei Light" w:hAnsi="Microsoft JhengHei Light" w:eastAsia="Microsoft JhengHei Light" w:cs="Microsoft JhengHei Light"/>
      <w:sz w:val="20"/>
      <w:szCs w:val="20"/>
      <w:lang w:val="en-US" w:eastAsia="en-US" w:bidi="en-US"/>
    </w:rPr>
  </w:style>
  <w:style w:type="paragraph" w:styleId="6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15">
    <w:name w:val="标题 3 Char"/>
    <w:basedOn w:val="12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6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8A6B8F-A332-4697-B4B2-4BE8A641F8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765</Words>
  <Characters>4362</Characters>
  <Lines>36</Lines>
  <Paragraphs>10</Paragraphs>
  <TotalTime>6</TotalTime>
  <ScaleCrop>false</ScaleCrop>
  <LinksUpToDate>false</LinksUpToDate>
  <CharactersWithSpaces>5117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2019-08-13T02:51:00Z</dcterms:created>
  <dc:creator>Administrator</dc:creator>
  <cp:lastModifiedBy>妨烧兆接页</cp:lastModifiedBy>
  <dcterms:modified xsi:type="dcterms:W3CDTF">2022-11-21T08:04:18Z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