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产品名称：</w:t>
      </w:r>
      <w:r>
        <w:rPr>
          <w:rFonts w:hint="eastAsia" w:ascii="Times New Roman" w:hAnsi="Times New Roman" w:eastAsia="黑体" w:cs="Times New Roman"/>
          <w:sz w:val="24"/>
          <w:szCs w:val="24"/>
          <w:lang w:val="en-US" w:eastAsia="zh-CN"/>
        </w:rPr>
        <w:t>对三氟甲基肉桂酸</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按照GB/T16483、GB/T17519编制</w:t>
      </w:r>
    </w:p>
    <w:p>
      <w:pPr>
        <w:rPr>
          <w:rFonts w:ascii="Times New Roman" w:hAnsi="Times New Roman" w:eastAsia="黑体" w:cs="Times New Roman"/>
          <w:sz w:val="24"/>
          <w:szCs w:val="24"/>
        </w:rPr>
      </w:pPr>
      <w:r>
        <w:rPr>
          <w:rFonts w:ascii="Times New Roman" w:hAnsi="Times New Roman" w:eastAsia="黑体" w:cs="Times New Roman"/>
          <w:sz w:val="24"/>
          <w:szCs w:val="24"/>
        </w:rPr>
        <w:t>修订日期：201</w:t>
      </w:r>
      <w:r>
        <w:rPr>
          <w:rFonts w:hint="eastAsia" w:ascii="Times New Roman" w:hAnsi="Times New Roman" w:eastAsia="黑体" w:cs="Times New Roman"/>
          <w:sz w:val="24"/>
          <w:szCs w:val="24"/>
          <w:lang w:val="en-US" w:eastAsia="zh-CN"/>
        </w:rPr>
        <w:t>8</w:t>
      </w:r>
      <w:r>
        <w:rPr>
          <w:rFonts w:ascii="Times New Roman" w:hAnsi="Times New Roman" w:eastAsia="黑体" w:cs="Times New Roman"/>
          <w:sz w:val="24"/>
          <w:szCs w:val="24"/>
        </w:rPr>
        <w:t>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 xml:space="preserve">月02日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最初编制日期：201</w:t>
      </w:r>
      <w:r>
        <w:rPr>
          <w:rFonts w:hint="eastAsia" w:ascii="Times New Roman" w:hAnsi="Times New Roman" w:eastAsia="黑体" w:cs="Times New Roman"/>
          <w:sz w:val="24"/>
          <w:szCs w:val="24"/>
          <w:lang w:val="en-US" w:eastAsia="zh-CN"/>
        </w:rPr>
        <w:t>8</w:t>
      </w:r>
      <w:r>
        <w:rPr>
          <w:rFonts w:ascii="Times New Roman" w:hAnsi="Times New Roman" w:eastAsia="黑体" w:cs="Times New Roman"/>
          <w:sz w:val="24"/>
          <w:szCs w:val="24"/>
        </w:rPr>
        <w:t>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rPr>
          <w:rFonts w:ascii="Times New Roman" w:hAnsi="Times New Roman" w:eastAsia="黑体" w:cs="Times New Roman"/>
          <w:sz w:val="24"/>
          <w:szCs w:val="24"/>
        </w:rPr>
      </w:pPr>
      <w:r>
        <w:rPr>
          <w:rFonts w:ascii="Times New Roman" w:hAnsi="Times New Roman" w:eastAsia="黑体" w:cs="Times New Roman"/>
          <w:sz w:val="24"/>
          <w:szCs w:val="24"/>
        </w:rPr>
        <mc:AlternateContent>
          <mc:Choice Requires="wps">
            <w:drawing>
              <wp:anchor distT="0" distB="0" distL="114300" distR="114300" simplePos="0" relativeHeight="251701248" behindDoc="0" locked="0" layoutInCell="1" allowOverlap="1">
                <wp:simplePos x="0" y="0"/>
                <wp:positionH relativeFrom="column">
                  <wp:posOffset>-76200</wp:posOffset>
                </wp:positionH>
                <wp:positionV relativeFrom="paragraph">
                  <wp:posOffset>381000</wp:posOffset>
                </wp:positionV>
                <wp:extent cx="5553075" cy="19050"/>
                <wp:effectExtent l="0" t="4445" r="9525" b="5080"/>
                <wp:wrapNone/>
                <wp:docPr id="13" name="自选图形 3"/>
                <wp:cNvGraphicFramePr/>
                <a:graphic xmlns:a="http://schemas.openxmlformats.org/drawingml/2006/main">
                  <a:graphicData uri="http://schemas.microsoft.com/office/word/2010/wordprocessingShape">
                    <wps:wsp>
                      <wps:cNvCnPr/>
                      <wps:spPr>
                        <a:xfrm flipV="1">
                          <a:off x="0" y="0"/>
                          <a:ext cx="5553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6pt;margin-top:30pt;height:1.5pt;width:437.25pt;z-index:251701248;mso-width-relative:page;mso-height-relative:page;" filled="f" stroked="t" coordsize="21600,21600" o:gfxdata="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O/TaHXAAAA&#10;CQEAAA8AAAAAAAAAAQAgAAAAIgAAAGRycy9kb3ducmV2LnhtbFBLAQIUABQAAAAIAIdO4kCJoM9O&#10;5QEAAKQDAAAOAAAAAAAAAAEAIAAAACYBAABkcnMvZTJvRG9jLnhtbFBLBQYAAAAABgAGAFkBAAB9&#10;BQAAAAA=&#10;">
                <v:fill on="f" focussize="0,0"/>
                <v:stroke color="#000000" joinstyle="round"/>
                <v:imagedata o:title=""/>
                <o:lock v:ext="edit" aspectratio="f"/>
              </v:shape>
            </w:pict>
          </mc:Fallback>
        </mc:AlternateContent>
      </w:r>
      <w:r>
        <w:rPr>
          <w:rFonts w:ascii="Times New Roman" w:hAnsi="Times New Roman" w:eastAsia="黑体" w:cs="Times New Roman"/>
          <w:sz w:val="24"/>
          <w:szCs w:val="24"/>
        </w:rPr>
        <w:t>版本：1.0</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第1部分 化学品及企业标识</w:t>
      </w:r>
    </w:p>
    <w:p>
      <w:pPr>
        <w:spacing w:line="360" w:lineRule="auto"/>
        <w:rPr>
          <w:rFonts w:hint="default" w:ascii="Times New Roman" w:hAnsi="Times New Roman" w:eastAsia="黑体" w:cs="Times New Roman"/>
          <w:sz w:val="24"/>
          <w:szCs w:val="24"/>
          <w:lang w:val="en-US"/>
        </w:rPr>
      </w:pPr>
      <w:r>
        <w:rPr>
          <w:rFonts w:ascii="Times New Roman" w:hAnsi="Times New Roman" w:eastAsia="黑体" w:cs="Times New Roman"/>
          <w:sz w:val="24"/>
          <w:szCs w:val="24"/>
        </w:rPr>
        <w:t>化学品中文名：</w:t>
      </w:r>
      <w:r>
        <w:rPr>
          <w:rFonts w:hint="eastAsia" w:asciiTheme="minorEastAsia" w:hAnsiTheme="minorEastAsia" w:eastAsiaTheme="minorEastAsia" w:cstheme="minorEastAsia"/>
          <w:sz w:val="24"/>
          <w:szCs w:val="24"/>
          <w:lang w:val="en-US" w:eastAsia="zh-CN"/>
        </w:rPr>
        <w:t>对三氟甲基肉桂酸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0"/>
        <w:jc w:val="left"/>
        <w:rPr>
          <w:rFonts w:ascii="Arial" w:hAnsi="Arial" w:cs="Arial"/>
          <w:caps w:val="0"/>
          <w:color w:val="222222"/>
          <w:spacing w:val="0"/>
          <w:sz w:val="19"/>
          <w:szCs w:val="19"/>
        </w:rPr>
      </w:pPr>
      <w:r>
        <w:rPr>
          <w:rFonts w:ascii="Times New Roman" w:hAnsi="Times New Roman" w:eastAsia="黑体" w:cs="Times New Roman"/>
          <w:b w:val="0"/>
          <w:bCs w:val="0"/>
          <w:sz w:val="24"/>
          <w:szCs w:val="24"/>
        </w:rPr>
        <w:t>化学品英文名</w:t>
      </w:r>
      <w:r>
        <w:rPr>
          <w:rFonts w:ascii="Times New Roman" w:hAnsi="Times New Roman" w:eastAsia="黑体" w:cs="Times New Roman"/>
          <w:sz w:val="24"/>
          <w:szCs w:val="24"/>
        </w:rPr>
        <w:t>：</w:t>
      </w:r>
      <w:r>
        <w:rPr>
          <w:rFonts w:hint="eastAsia" w:asciiTheme="minorAscii" w:hAnsiTheme="minorEastAsia" w:eastAsiaTheme="minorEastAsia" w:cstheme="minorEastAsia"/>
          <w:caps w:val="0"/>
          <w:color w:val="222222"/>
          <w:spacing w:val="0"/>
          <w:sz w:val="24"/>
          <w:szCs w:val="24"/>
          <w:bdr w:val="none" w:color="auto" w:sz="0" w:space="0"/>
          <w:shd w:val="clear" w:fill="FFFFFF"/>
        </w:rPr>
        <w:t>trans-4-(Trifluoromethyl)cinnamic acid</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企业名称：</w:t>
      </w:r>
      <w:r>
        <w:rPr>
          <w:rFonts w:ascii="Times New Roman" w:cs="Times New Roman" w:hAnsiTheme="minorEastAsia"/>
          <w:sz w:val="24"/>
          <w:szCs w:val="24"/>
        </w:rPr>
        <w:t>武汉能迈科实业有限公司</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企业地址：</w:t>
      </w:r>
      <w:r>
        <w:rPr>
          <w:rFonts w:ascii="Times New Roman" w:cs="Times New Roman" w:hAnsiTheme="minorEastAsia"/>
          <w:sz w:val="24"/>
          <w:szCs w:val="24"/>
        </w:rPr>
        <w:t>武汉市江岸区塔子湖东路</w:t>
      </w:r>
      <w:r>
        <w:rPr>
          <w:rFonts w:ascii="Times New Roman" w:hAnsi="Times New Roman" w:eastAsia="黑体" w:cs="Times New Roman"/>
          <w:sz w:val="24"/>
          <w:szCs w:val="24"/>
        </w:rPr>
        <w:t>18</w:t>
      </w:r>
      <w:r>
        <w:rPr>
          <w:rFonts w:ascii="Times New Roman" w:cs="Times New Roman" w:hAnsiTheme="minorEastAsia"/>
          <w:sz w:val="24"/>
          <w:szCs w:val="24"/>
        </w:rPr>
        <w:t>号</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联系电话：027-83916065</w:t>
      </w:r>
    </w:p>
    <w:p>
      <w:pPr>
        <w:pStyle w:val="7"/>
        <w:spacing w:before="5"/>
        <w:rPr>
          <w:rFonts w:ascii="Arial"/>
          <w:sz w:val="19"/>
        </w:rPr>
      </w:pPr>
    </w:p>
    <w:p>
      <w:pPr>
        <w:spacing w:before="60"/>
        <w:ind w:left="114" w:right="0" w:firstLine="0"/>
        <w:jc w:val="center"/>
        <w:rPr>
          <w:sz w:val="21"/>
        </w:rPr>
      </w:pPr>
      <w:r>
        <w:rPr>
          <w:rFonts w:ascii="Times New Roman" w:hAnsi="Times New Roman" w:eastAsia="黑体" w:cs="Times New Roman"/>
          <w:sz w:val="32"/>
          <w:szCs w:val="32"/>
        </w:rPr>
        <w:t>第 2 部分：危险性概述</w:t>
      </w:r>
    </w:p>
    <w:p>
      <w:pPr>
        <w:spacing w:before="66" w:line="360" w:lineRule="auto"/>
        <w:ind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GHS危险性类别</w:t>
      </w:r>
    </w:p>
    <w:p>
      <w:pPr>
        <w:spacing w:before="66" w:line="360" w:lineRule="auto"/>
        <w:ind w:right="0"/>
        <w:jc w:val="lef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GHS分类</w:t>
      </w:r>
    </w:p>
    <w:p>
      <w:pPr>
        <w:tabs>
          <w:tab w:val="left" w:pos="5331"/>
        </w:tabs>
        <w:spacing w:before="0" w:line="360" w:lineRule="auto"/>
        <w:ind w:left="516" w:right="0" w:firstLine="0"/>
        <w:jc w:val="left"/>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sz w:val="21"/>
          <w:szCs w:val="21"/>
        </w:rPr>
        <w:t>物理性危害</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val="0"/>
          <w:sz w:val="21"/>
          <w:szCs w:val="21"/>
        </w:rPr>
        <w:t>未分类</w:t>
      </w:r>
    </w:p>
    <w:p>
      <w:pPr>
        <w:pStyle w:val="3"/>
        <w:spacing w:line="360" w:lineRule="auto"/>
        <w:ind w:left="51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健康危害</w:t>
      </w:r>
    </w:p>
    <w:p>
      <w:pPr>
        <w:tabs>
          <w:tab w:val="left" w:pos="4304"/>
        </w:tabs>
        <w:spacing w:before="0" w:line="360" w:lineRule="auto"/>
        <w:ind w:left="0" w:right="4816" w:firstLine="0"/>
        <w:jc w:val="right"/>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sz w:val="21"/>
          <w:szCs w:val="21"/>
        </w:rPr>
        <w:t>皮肤腐蚀</w:t>
      </w:r>
      <w:r>
        <w:rPr>
          <w:rFonts w:hint="eastAsia" w:asciiTheme="minorEastAsia" w:hAnsiTheme="minorEastAsia" w:eastAsiaTheme="minorEastAsia" w:cstheme="minorEastAsia"/>
          <w:b/>
          <w:w w:val="95"/>
          <w:sz w:val="21"/>
          <w:szCs w:val="21"/>
        </w:rPr>
        <w:t>/</w:t>
      </w:r>
      <w:r>
        <w:rPr>
          <w:rFonts w:hint="eastAsia" w:asciiTheme="minorEastAsia" w:hAnsiTheme="minorEastAsia" w:eastAsiaTheme="minorEastAsia" w:cstheme="minorEastAsia"/>
          <w:b/>
          <w:sz w:val="21"/>
          <w:szCs w:val="21"/>
        </w:rPr>
        <w:t>刺激</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val="0"/>
          <w:spacing w:val="-1"/>
          <w:w w:val="95"/>
          <w:sz w:val="21"/>
          <w:szCs w:val="21"/>
        </w:rPr>
        <w:t>第</w:t>
      </w:r>
      <w:r>
        <w:rPr>
          <w:rFonts w:hint="eastAsia" w:asciiTheme="minorEastAsia" w:hAnsiTheme="minorEastAsia" w:eastAsiaTheme="minorEastAsia" w:cstheme="minorEastAsia"/>
          <w:b w:val="0"/>
          <w:w w:val="95"/>
          <w:sz w:val="21"/>
          <w:szCs w:val="21"/>
        </w:rPr>
        <w:t>2级</w:t>
      </w:r>
    </w:p>
    <w:p>
      <w:pPr>
        <w:tabs>
          <w:tab w:val="left" w:pos="4304"/>
        </w:tabs>
        <w:spacing w:before="0" w:line="360" w:lineRule="auto"/>
        <w:ind w:left="0" w:right="4883" w:firstLine="0"/>
        <w:jc w:val="right"/>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sz w:val="21"/>
          <w:szCs w:val="21"/>
        </w:rPr>
        <w:t>严重损伤/刺激眼睛</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val="0"/>
          <w:spacing w:val="-1"/>
          <w:w w:val="95"/>
          <w:sz w:val="21"/>
          <w:szCs w:val="21"/>
        </w:rPr>
        <w:t>2A类</w:t>
      </w:r>
    </w:p>
    <w:p>
      <w:pPr>
        <w:spacing w:before="66" w:line="360" w:lineRule="auto"/>
        <w:ind w:right="0" w:firstLine="42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1"/>
          <w:szCs w:val="21"/>
        </w:rPr>
        <w:t>环境危害</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val="0"/>
          <w:w w:val="95"/>
          <w:sz w:val="21"/>
          <w:szCs w:val="21"/>
        </w:rPr>
        <w:t>未分类</w:t>
      </w:r>
    </w:p>
    <w:p>
      <w:pPr>
        <w:spacing w:before="66" w:line="360" w:lineRule="auto"/>
        <w:ind w:right="0"/>
        <w:jc w:val="left"/>
        <w:rPr>
          <w:rFonts w:hint="eastAsia" w:asciiTheme="minorEastAsia" w:hAnsiTheme="minorEastAsia" w:eastAsiaTheme="minorEastAsia" w:cstheme="minorEastAsia"/>
          <w:b/>
          <w:sz w:val="24"/>
          <w:szCs w:val="24"/>
        </w:rPr>
      </w:pPr>
      <w:r>
        <w:drawing>
          <wp:anchor distT="0" distB="0" distL="0" distR="0" simplePos="0" relativeHeight="251454464" behindDoc="1" locked="0" layoutInCell="1" allowOverlap="1">
            <wp:simplePos x="0" y="0"/>
            <wp:positionH relativeFrom="page">
              <wp:posOffset>2725420</wp:posOffset>
            </wp:positionH>
            <wp:positionV relativeFrom="paragraph">
              <wp:posOffset>170180</wp:posOffset>
            </wp:positionV>
            <wp:extent cx="733425" cy="731520"/>
            <wp:effectExtent l="0" t="0" r="9525" b="1143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6" cstate="print"/>
                    <a:stretch>
                      <a:fillRect/>
                    </a:stretch>
                  </pic:blipFill>
                  <pic:spPr>
                    <a:xfrm>
                      <a:off x="0" y="0"/>
                      <a:ext cx="733620" cy="731446"/>
                    </a:xfrm>
                    <a:prstGeom prst="rect">
                      <a:avLst/>
                    </a:prstGeom>
                  </pic:spPr>
                </pic:pic>
              </a:graphicData>
            </a:graphic>
          </wp:anchor>
        </w:drawing>
      </w:r>
      <w:r>
        <w:rPr>
          <w:rFonts w:hint="eastAsia" w:asciiTheme="minorEastAsia" w:hAnsiTheme="minorEastAsia" w:eastAsiaTheme="minorEastAsia" w:cstheme="minorEastAsia"/>
          <w:b/>
          <w:sz w:val="24"/>
          <w:szCs w:val="24"/>
        </w:rPr>
        <w:t>GHS标签元素</w:t>
      </w:r>
    </w:p>
    <w:p>
      <w:pPr>
        <w:spacing w:before="0" w:line="313" w:lineRule="exact"/>
        <w:ind w:right="0"/>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图标或危害标志</w:t>
      </w:r>
    </w:p>
    <w:p>
      <w:pPr>
        <w:pStyle w:val="7"/>
        <w:rPr>
          <w:rFonts w:ascii="Microsoft JhengHei"/>
          <w:b/>
          <w:sz w:val="26"/>
        </w:rPr>
      </w:pPr>
    </w:p>
    <w:p>
      <w:pPr>
        <w:pStyle w:val="7"/>
        <w:spacing w:before="17"/>
        <w:rPr>
          <w:rFonts w:ascii="Microsoft JhengHei"/>
          <w:b/>
          <w:sz w:val="30"/>
        </w:rPr>
      </w:pPr>
    </w:p>
    <w:p>
      <w:pPr>
        <w:tabs>
          <w:tab w:val="left" w:pos="5331"/>
        </w:tabs>
        <w:spacing w:before="0" w:line="360" w:lineRule="auto"/>
        <w:ind w:right="0" w:firstLine="632" w:firstLineChars="300"/>
        <w:jc w:val="left"/>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sz w:val="21"/>
          <w:szCs w:val="21"/>
        </w:rPr>
        <w:t>信号词</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val="0"/>
          <w:sz w:val="21"/>
          <w:szCs w:val="21"/>
        </w:rPr>
        <w:t>警告</w:t>
      </w:r>
    </w:p>
    <w:p>
      <w:pPr>
        <w:tabs>
          <w:tab w:val="left" w:pos="5331"/>
        </w:tabs>
        <w:spacing w:before="0" w:line="360" w:lineRule="auto"/>
        <w:ind w:right="0" w:firstLine="632" w:firstLineChars="300"/>
        <w:jc w:val="left"/>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sz w:val="21"/>
          <w:szCs w:val="21"/>
        </w:rPr>
        <w:t>危险描述</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val="0"/>
          <w:sz w:val="21"/>
          <w:szCs w:val="21"/>
        </w:rPr>
        <w:t>造成皮肤刺激</w:t>
      </w:r>
    </w:p>
    <w:p>
      <w:pPr>
        <w:pStyle w:val="7"/>
        <w:spacing w:line="360" w:lineRule="auto"/>
        <w:ind w:left="1832" w:right="430"/>
        <w:jc w:val="center"/>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lang w:val="en-US" w:eastAsia="zh-CN"/>
        </w:rPr>
        <w:t xml:space="preserve">                        </w:t>
      </w:r>
      <w:r>
        <w:rPr>
          <w:rFonts w:hint="eastAsia" w:asciiTheme="minorEastAsia" w:hAnsiTheme="minorEastAsia" w:eastAsiaTheme="minorEastAsia" w:cstheme="minorEastAsia"/>
          <w:b w:val="0"/>
          <w:sz w:val="21"/>
          <w:szCs w:val="21"/>
        </w:rPr>
        <w:t>造成严重眼刺激</w:t>
      </w:r>
    </w:p>
    <w:p>
      <w:pPr>
        <w:pStyle w:val="3"/>
        <w:spacing w:line="360" w:lineRule="auto"/>
        <w:ind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防范说明</w:t>
      </w:r>
    </w:p>
    <w:p>
      <w:pPr>
        <w:pStyle w:val="7"/>
        <w:tabs>
          <w:tab w:val="left" w:pos="3246"/>
        </w:tabs>
        <w:spacing w:before="25" w:line="360" w:lineRule="auto"/>
        <w:ind w:left="3246" w:right="5214" w:hanging="2336"/>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sz w:val="21"/>
          <w:szCs w:val="21"/>
        </w:rPr>
        <w:t>[预防]</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val="0"/>
          <w:sz w:val="21"/>
          <w:szCs w:val="21"/>
        </w:rPr>
        <w:t>作业后彻底洗手和洗脸</w:t>
      </w:r>
      <w:r>
        <w:rPr>
          <w:rFonts w:hint="eastAsia" w:asciiTheme="minorEastAsia" w:hAnsiTheme="minorEastAsia" w:eastAsiaTheme="minorEastAsia" w:cstheme="minorEastAsia"/>
          <w:b w:val="0"/>
          <w:spacing w:val="-18"/>
          <w:sz w:val="21"/>
          <w:szCs w:val="21"/>
        </w:rPr>
        <w:t>。</w:t>
      </w:r>
      <w:r>
        <w:rPr>
          <w:rFonts w:hint="eastAsia" w:asciiTheme="minorEastAsia" w:hAnsiTheme="minorEastAsia" w:eastAsiaTheme="minorEastAsia" w:cstheme="minorEastAsia"/>
          <w:b w:val="0"/>
          <w:sz w:val="21"/>
          <w:szCs w:val="21"/>
        </w:rPr>
        <w:t>戴防护手套、眼部防护</w:t>
      </w:r>
      <w:r>
        <w:rPr>
          <w:rFonts w:hint="eastAsia" w:asciiTheme="minorEastAsia" w:hAnsiTheme="minorEastAsia" w:eastAsiaTheme="minorEastAsia" w:cstheme="minorEastAsia"/>
          <w:b w:val="0"/>
          <w:spacing w:val="-18"/>
          <w:sz w:val="21"/>
          <w:szCs w:val="21"/>
        </w:rPr>
        <w:t>。</w:t>
      </w:r>
    </w:p>
    <w:p>
      <w:pPr>
        <w:pStyle w:val="7"/>
        <w:tabs>
          <w:tab w:val="left" w:pos="3246"/>
        </w:tabs>
        <w:spacing w:before="3" w:line="360" w:lineRule="auto"/>
        <w:ind w:left="3246" w:right="220" w:hanging="2336"/>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sz w:val="21"/>
          <w:szCs w:val="21"/>
        </w:rPr>
        <w:t>[急救措施]</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val="0"/>
          <w:sz w:val="21"/>
          <w:szCs w:val="21"/>
        </w:rPr>
        <w:t>如果皮肤沾染：用大量水冲洗。如果发生皮肤刺激：求医或就诊。脱掉受沾染的</w:t>
      </w:r>
      <w:r>
        <w:rPr>
          <w:rFonts w:hint="eastAsia" w:asciiTheme="minorEastAsia" w:hAnsiTheme="minorEastAsia" w:eastAsiaTheme="minorEastAsia" w:cstheme="minorEastAsia"/>
          <w:b w:val="0"/>
          <w:spacing w:val="-18"/>
          <w:sz w:val="21"/>
          <w:szCs w:val="21"/>
        </w:rPr>
        <w:t>衣</w:t>
      </w:r>
      <w:r>
        <w:rPr>
          <w:rFonts w:hint="eastAsia" w:asciiTheme="minorEastAsia" w:hAnsiTheme="minorEastAsia" w:eastAsiaTheme="minorEastAsia" w:cstheme="minorEastAsia"/>
          <w:b w:val="0"/>
          <w:sz w:val="21"/>
          <w:szCs w:val="21"/>
        </w:rPr>
        <w:t>物，且清洗后方能再次使用。</w:t>
      </w:r>
    </w:p>
    <w:p>
      <w:pPr>
        <w:pStyle w:val="7"/>
        <w:spacing w:before="3" w:line="360" w:lineRule="auto"/>
        <w:ind w:left="3246" w:right="177"/>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如果进入眼睛：用水小心冲洗几分钟。如果戴有隐形眼镜且可方便取出，取出隐形眼镜。继续冲洗。如果眼睛刺激持续：求医或就诊。</w:t>
      </w:r>
    </w:p>
    <w:p>
      <w:pPr>
        <w:pStyle w:val="7"/>
        <w:rPr>
          <w:sz w:val="24"/>
          <w:szCs w:val="24"/>
        </w:rPr>
      </w:pPr>
    </w:p>
    <w:p>
      <w:pPr>
        <w:pStyle w:val="7"/>
        <w:spacing w:before="3"/>
        <w:rPr>
          <w:sz w:val="12"/>
        </w:rPr>
      </w:pPr>
    </w:p>
    <w:p>
      <w:pPr>
        <w:spacing w:before="0"/>
        <w:ind w:left="114" w:right="0" w:firstLine="0"/>
        <w:jc w:val="center"/>
        <w:rPr>
          <w:sz w:val="21"/>
        </w:rPr>
      </w:pPr>
      <w:r>
        <w:rPr>
          <w:rFonts w:ascii="Times New Roman" w:hAnsi="Times New Roman" w:eastAsia="黑体" w:cs="Times New Roman"/>
          <w:sz w:val="32"/>
          <w:szCs w:val="32"/>
        </w:rPr>
        <w:t>第 3 部分：成分/组成信息</w:t>
      </w:r>
    </w:p>
    <w:p>
      <w:pPr>
        <w:spacing w:before="137" w:line="360" w:lineRule="auto"/>
        <w:ind w:right="0"/>
        <w:jc w:val="left"/>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物质</w:t>
      </w:r>
    </w:p>
    <w:p>
      <w:pPr>
        <w:spacing w:before="137" w:line="360" w:lineRule="auto"/>
        <w:ind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中文名称：</w:t>
      </w:r>
      <w:r>
        <w:rPr>
          <w:rFonts w:hint="eastAsia" w:asciiTheme="minorEastAsia" w:hAnsiTheme="minorEastAsia" w:eastAsiaTheme="minorEastAsia" w:cstheme="minorEastAsia"/>
          <w:sz w:val="24"/>
          <w:szCs w:val="24"/>
          <w:lang w:val="en-US" w:eastAsia="zh-CN"/>
        </w:rPr>
        <w:t>对三氟甲基肉桂酸</w:t>
      </w:r>
    </w:p>
    <w:p>
      <w:pPr>
        <w:tabs>
          <w:tab w:val="left" w:pos="3244"/>
        </w:tabs>
        <w:spacing w:before="0" w:line="259" w:lineRule="exact"/>
        <w:ind w:right="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lang w:val="en-US" w:eastAsia="zh-CN"/>
        </w:rPr>
        <w:t>化学别名</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sz w:val="24"/>
          <w:szCs w:val="24"/>
          <w:lang w:val="en-US" w:eastAsia="zh-CN"/>
        </w:rPr>
        <w:t>4-(三氟甲基)肉桂酸</w:t>
      </w:r>
    </w:p>
    <w:p>
      <w:pPr>
        <w:pStyle w:val="5"/>
        <w:spacing w:before="63" w:line="360" w:lineRule="auto"/>
        <w:ind w:left="0" w:leftChars="0" w:firstLine="0" w:firstLineChars="0"/>
        <w:rPr>
          <w:rFonts w:hint="eastAsia" w:asciiTheme="minorEastAsia" w:hAnsiTheme="minorEastAsia" w:eastAsiaTheme="minorEastAsia" w:cstheme="minorEastAsia"/>
          <w:sz w:val="24"/>
          <w:szCs w:val="24"/>
          <w:lang w:val="zh-CN" w:eastAsia="zh-CN" w:bidi="zh-CN"/>
        </w:rPr>
      </w:pPr>
      <w:r>
        <w:rPr>
          <w:rFonts w:hint="eastAsia" w:asciiTheme="minorEastAsia" w:hAnsiTheme="minorEastAsia" w:eastAsiaTheme="minorEastAsia" w:cstheme="minorEastAsia"/>
          <w:sz w:val="24"/>
          <w:szCs w:val="24"/>
          <w:lang w:val="en-US" w:eastAsia="zh-CN" w:bidi="zh-CN"/>
        </w:rPr>
        <w:t>CAS 号  ：16642-92-5</w:t>
      </w:r>
    </w:p>
    <w:p>
      <w:pPr>
        <w:pStyle w:val="7"/>
        <w:spacing w:before="85" w:line="360" w:lineRule="auto"/>
        <w:ind w:right="323"/>
        <w:rPr>
          <w:rFonts w:hint="eastAsia" w:asciiTheme="minorEastAsia" w:hAnsiTheme="minorEastAsia" w:eastAsiaTheme="minorEastAsia" w:cstheme="minorEastAsia"/>
          <w:sz w:val="24"/>
          <w:szCs w:val="24"/>
          <w:lang w:val="zh-CN" w:eastAsia="zh-CN" w:bidi="zh-CN"/>
        </w:rPr>
      </w:pPr>
      <w:r>
        <w:rPr>
          <w:rFonts w:hint="eastAsia" w:asciiTheme="minorEastAsia" w:hAnsiTheme="minorEastAsia" w:eastAsiaTheme="minorEastAsia" w:cstheme="minorEastAsia"/>
          <w:b w:val="0"/>
          <w:bCs w:val="0"/>
          <w:sz w:val="24"/>
          <w:szCs w:val="24"/>
        </w:rPr>
        <w:t>分子式</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sz w:val="24"/>
          <w:szCs w:val="24"/>
          <w:lang w:val="en-US" w:eastAsia="zh-CN" w:bidi="zh-CN"/>
        </w:rPr>
        <w:t>C10H7F3O3</w:t>
      </w:r>
    </w:p>
    <w:p>
      <w:pPr>
        <w:pStyle w:val="4"/>
        <w:ind w:left="0" w:leftChars="0" w:firstLine="0" w:firstLineChars="0"/>
        <w:rPr>
          <w:rFonts w:hint="eastAsia" w:asciiTheme="minorEastAsia" w:hAnsiTheme="minorEastAsia" w:eastAsiaTheme="minorEastAsia" w:cstheme="minorEastAsia"/>
          <w:b w:val="0"/>
          <w:bCs w:val="0"/>
          <w:sz w:val="24"/>
          <w:szCs w:val="24"/>
          <w:lang w:val="zh-CN" w:eastAsia="zh-CN" w:bidi="zh-CN"/>
        </w:rPr>
        <w:sectPr>
          <w:headerReference r:id="rId3" w:type="default"/>
          <w:footerReference r:id="rId4" w:type="default"/>
          <w:type w:val="continuous"/>
          <w:pgSz w:w="11900" w:h="16840"/>
          <w:pgMar w:top="1440" w:right="1800" w:bottom="1440" w:left="1800" w:header="720" w:footer="720" w:gutter="0"/>
        </w:sectPr>
      </w:pPr>
      <w:r>
        <w:rPr>
          <w:rFonts w:hint="eastAsia" w:asciiTheme="minorEastAsia" w:hAnsiTheme="minorEastAsia" w:eastAsiaTheme="minorEastAsia" w:cstheme="minorEastAsia"/>
          <w:b w:val="0"/>
          <w:bCs w:val="0"/>
          <w:sz w:val="24"/>
          <w:szCs w:val="24"/>
        </w:rPr>
        <w:t>分子量</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en-US" w:eastAsia="zh-CN" w:bidi="zh-CN"/>
        </w:rPr>
        <w:t>216.16</w:t>
      </w:r>
    </w:p>
    <w:p>
      <w:pPr>
        <w:spacing w:before="69"/>
        <w:ind w:right="0"/>
        <w:jc w:val="left"/>
        <w:rPr>
          <w:sz w:val="14"/>
        </w:rPr>
      </w:pPr>
    </w:p>
    <w:p>
      <w:pPr>
        <w:spacing w:after="0"/>
        <w:jc w:val="left"/>
        <w:rPr>
          <w:sz w:val="14"/>
        </w:rPr>
        <w:sectPr>
          <w:type w:val="continuous"/>
          <w:pgSz w:w="11900" w:h="16840"/>
          <w:pgMar w:top="940" w:right="800" w:bottom="800" w:left="660" w:header="720" w:footer="720" w:gutter="0"/>
          <w:cols w:equalWidth="0" w:num="2">
            <w:col w:w="713" w:space="2072"/>
            <w:col w:w="7655"/>
          </w:cols>
        </w:sectPr>
      </w:pPr>
    </w:p>
    <w:p>
      <w:pPr>
        <w:pStyle w:val="7"/>
        <w:spacing w:before="5"/>
        <w:rPr>
          <w:rFonts w:ascii="Arial"/>
          <w:sz w:val="19"/>
        </w:rPr>
      </w:pPr>
    </w:p>
    <w:p>
      <w:pPr>
        <w:spacing w:before="0"/>
        <w:ind w:right="0"/>
        <w:jc w:val="center"/>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第 4 部分：急救措施</w:t>
      </w:r>
    </w:p>
    <w:p>
      <w:pPr>
        <w:pStyle w:val="7"/>
        <w:tabs>
          <w:tab w:val="left" w:pos="3244"/>
        </w:tabs>
        <w:spacing w:line="360" w:lineRule="auto"/>
        <w:ind w:left="4096" w:hanging="4096" w:hangingChars="1700"/>
        <w:rPr>
          <w:rFonts w:hint="eastAsia" w:asciiTheme="minorEastAsia" w:hAnsiTheme="minorEastAsia" w:eastAsiaTheme="minorEastAsia" w:cstheme="minorEastAsia"/>
          <w:b w:val="0"/>
          <w:sz w:val="24"/>
          <w:szCs w:val="24"/>
          <w:lang w:eastAsia="zh-CN"/>
        </w:rPr>
      </w:pPr>
      <w:r>
        <w:rPr>
          <w:rFonts w:hint="eastAsia" w:asciiTheme="minorEastAsia" w:hAnsiTheme="minorEastAsia" w:eastAsiaTheme="minorEastAsia" w:cstheme="minorEastAsia"/>
          <w:b/>
          <w:sz w:val="24"/>
          <w:szCs w:val="24"/>
        </w:rPr>
        <w:t>吸入</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val="0"/>
          <w:sz w:val="24"/>
          <w:szCs w:val="24"/>
        </w:rPr>
        <w:t>将受害者移到新鲜空气处，保持呼吸</w:t>
      </w:r>
      <w:r>
        <w:rPr>
          <w:rFonts w:hint="eastAsia" w:asciiTheme="minorEastAsia" w:hAnsiTheme="minorEastAsia" w:eastAsiaTheme="minorEastAsia" w:cstheme="minorEastAsia"/>
          <w:b w:val="0"/>
          <w:sz w:val="24"/>
          <w:szCs w:val="24"/>
          <w:lang w:val="en-US" w:eastAsia="zh-CN"/>
        </w:rPr>
        <w:t>通</w:t>
      </w:r>
      <w:r>
        <w:rPr>
          <w:rFonts w:hint="eastAsia" w:asciiTheme="minorEastAsia" w:hAnsiTheme="minorEastAsia" w:eastAsiaTheme="minorEastAsia" w:cstheme="minorEastAsia"/>
          <w:b w:val="0"/>
          <w:sz w:val="24"/>
          <w:szCs w:val="24"/>
        </w:rPr>
        <w:t>畅，休息。若感不适请求医</w:t>
      </w:r>
      <w:r>
        <w:rPr>
          <w:rFonts w:hint="eastAsia" w:asciiTheme="minorEastAsia" w:hAnsiTheme="minorEastAsia" w:eastAsiaTheme="minorEastAsia" w:cstheme="minorEastAsia"/>
          <w:b w:val="0"/>
          <w:sz w:val="24"/>
          <w:szCs w:val="24"/>
          <w:lang w:eastAsia="zh-CN"/>
        </w:rPr>
        <w:t>。</w:t>
      </w:r>
    </w:p>
    <w:p>
      <w:pPr>
        <w:pStyle w:val="7"/>
        <w:tabs>
          <w:tab w:val="left" w:pos="3244"/>
        </w:tabs>
        <w:spacing w:line="360" w:lineRule="auto"/>
        <w:ind w:left="4096" w:hanging="4096" w:hangingChars="1700"/>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sz w:val="24"/>
          <w:szCs w:val="24"/>
        </w:rPr>
        <w:t>皮肤接触</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val="0"/>
          <w:bCs/>
          <w:sz w:val="24"/>
          <w:szCs w:val="24"/>
        </w:rPr>
        <w:t>立即去除/脱掉所有被污染的衣物。用大量肥皂和水轻轻洗。</w:t>
      </w:r>
    </w:p>
    <w:p>
      <w:pPr>
        <w:spacing w:after="0" w:line="360" w:lineRule="auto"/>
        <w:jc w:val="left"/>
        <w:rPr>
          <w:rFonts w:hint="eastAsia" w:asciiTheme="minorEastAsia" w:hAnsiTheme="minorEastAsia" w:eastAsiaTheme="minorEastAsia" w:cstheme="minorEastAsia"/>
          <w:sz w:val="24"/>
          <w:szCs w:val="24"/>
        </w:rPr>
        <w:sectPr>
          <w:type w:val="continuous"/>
          <w:pgSz w:w="11900" w:h="16840"/>
          <w:pgMar w:top="1440" w:right="1800" w:bottom="1440" w:left="1800" w:header="720" w:footer="720" w:gutter="0"/>
        </w:sectPr>
      </w:pPr>
      <w:r>
        <w:rPr>
          <w:rFonts w:hint="eastAsia" w:asciiTheme="minorEastAsia" w:hAnsiTheme="minorEastAsia" w:eastAsiaTheme="minorEastAsia" w:cstheme="minorEastAsia"/>
          <w:b/>
          <w:sz w:val="24"/>
          <w:szCs w:val="24"/>
        </w:rPr>
        <w:t>眼睛接触：</w:t>
      </w:r>
      <w:r>
        <w:rPr>
          <w:rFonts w:hint="eastAsia" w:asciiTheme="minorEastAsia" w:hAnsiTheme="minorEastAsia" w:eastAsiaTheme="minorEastAsia" w:cstheme="minorEastAsia"/>
          <w:b w:val="0"/>
          <w:sz w:val="24"/>
          <w:szCs w:val="24"/>
        </w:rPr>
        <w:t>用水小心清洗几分钟。如果方便，易操作，摘除隐形眼镜。继续清洗</w:t>
      </w:r>
      <w:r>
        <w:rPr>
          <w:rFonts w:hint="eastAsia" w:asciiTheme="minorEastAsia" w:hAnsiTheme="minorEastAsia" w:eastAsiaTheme="minorEastAsia" w:cstheme="minorEastAsia"/>
          <w:b w:val="0"/>
          <w:spacing w:val="-18"/>
          <w:sz w:val="24"/>
          <w:szCs w:val="24"/>
        </w:rPr>
        <w:t>。</w:t>
      </w:r>
      <w:r>
        <w:rPr>
          <w:rFonts w:hint="eastAsia" w:asciiTheme="minorEastAsia" w:hAnsiTheme="minorEastAsia" w:eastAsiaTheme="minorEastAsia" w:cstheme="minorEastAsia"/>
          <w:b w:val="0"/>
          <w:sz w:val="24"/>
          <w:szCs w:val="24"/>
        </w:rPr>
        <w:t>如果眼睛刺激：求医/就诊</w:t>
      </w:r>
    </w:p>
    <w:p>
      <w:pPr>
        <w:tabs>
          <w:tab w:val="left" w:pos="3244"/>
        </w:tabs>
        <w:spacing w:before="0" w:line="360" w:lineRule="auto"/>
        <w:ind w:right="0"/>
        <w:jc w:val="left"/>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sz w:val="24"/>
          <w:szCs w:val="24"/>
        </w:rPr>
        <w:t>食入：</w:t>
      </w:r>
      <w:r>
        <w:rPr>
          <w:rFonts w:hint="eastAsia" w:asciiTheme="minorEastAsia" w:hAnsiTheme="minorEastAsia" w:eastAsiaTheme="minorEastAsia" w:cstheme="minorEastAsia"/>
          <w:b w:val="0"/>
          <w:sz w:val="24"/>
          <w:szCs w:val="24"/>
        </w:rPr>
        <w:t>若感不适，求医/就诊。漱口。</w:t>
      </w:r>
    </w:p>
    <w:p>
      <w:pPr>
        <w:pStyle w:val="2"/>
        <w:spacing w:line="360" w:lineRule="auto"/>
        <w:ind w:left="0" w:leftChars="0" w:firstLine="0" w:firstLineChars="0"/>
        <w:rPr>
          <w:rFonts w:hint="eastAsia" w:asciiTheme="minorEastAsia" w:hAnsiTheme="minorEastAsia" w:eastAsiaTheme="minorEastAsia" w:cstheme="minorEastAsia"/>
          <w:sz w:val="24"/>
          <w:szCs w:val="24"/>
          <w:lang w:val="en-US" w:eastAsia="zh-CN" w:bidi="zh-CN"/>
        </w:rPr>
      </w:pPr>
      <w:r>
        <w:rPr>
          <w:rFonts w:hint="eastAsia" w:asciiTheme="minorEastAsia" w:hAnsiTheme="minorEastAsia" w:eastAsiaTheme="minorEastAsia" w:cstheme="minorEastAsia"/>
          <w:b/>
          <w:sz w:val="24"/>
          <w:szCs w:val="24"/>
        </w:rPr>
        <w:t>紧急救助者的防护：</w:t>
      </w:r>
      <w:r>
        <w:rPr>
          <w:rFonts w:hint="eastAsia" w:asciiTheme="minorEastAsia" w:hAnsiTheme="minorEastAsia" w:eastAsiaTheme="minorEastAsia" w:cstheme="minorEastAsia"/>
          <w:b w:val="0"/>
          <w:sz w:val="24"/>
          <w:szCs w:val="24"/>
        </w:rPr>
        <w:t>救援者需要穿戴个人防护用品，比如橡胶手套和气密性护目镜。</w:t>
      </w:r>
    </w:p>
    <w:p>
      <w:pPr>
        <w:pStyle w:val="2"/>
        <w:rPr>
          <w:rFonts w:hint="eastAsia" w:ascii="Times New Roman" w:hAnsi="Times New Roman" w:eastAsia="黑体" w:cs="Times New Roman"/>
          <w:sz w:val="32"/>
          <w:szCs w:val="32"/>
          <w:lang w:val="en-US" w:eastAsia="zh-CN" w:bidi="zh-CN"/>
        </w:rPr>
      </w:pPr>
    </w:p>
    <w:p>
      <w:pPr>
        <w:pStyle w:val="2"/>
        <w:rPr>
          <w:rFonts w:hint="eastAsia" w:ascii="Times New Roman" w:hAnsi="Times New Roman" w:eastAsia="黑体" w:cs="Times New Roman"/>
          <w:sz w:val="32"/>
          <w:szCs w:val="32"/>
          <w:lang w:val="en-US" w:eastAsia="zh-CN" w:bidi="zh-CN"/>
        </w:rPr>
      </w:pPr>
    </w:p>
    <w:p>
      <w:pPr>
        <w:pStyle w:val="2"/>
        <w:spacing w:line="360" w:lineRule="auto"/>
        <w:jc w:val="center"/>
        <w:rPr>
          <w:rFonts w:hint="eastAsia" w:ascii="Times New Roman" w:hAnsi="Times New Roman" w:eastAsia="黑体" w:cs="Times New Roman"/>
          <w:sz w:val="32"/>
          <w:szCs w:val="32"/>
          <w:lang w:val="en-US" w:eastAsia="zh-CN" w:bidi="zh-CN"/>
        </w:rPr>
      </w:pPr>
    </w:p>
    <w:p>
      <w:pPr>
        <w:pStyle w:val="2"/>
        <w:spacing w:line="360" w:lineRule="auto"/>
        <w:jc w:val="center"/>
        <w:rPr>
          <w:rFonts w:hint="eastAsia" w:ascii="Times New Roman" w:hAnsi="Times New Roman" w:eastAsia="黑体" w:cs="Times New Roman"/>
          <w:sz w:val="32"/>
          <w:szCs w:val="32"/>
          <w:lang w:val="en-US" w:eastAsia="zh-CN" w:bidi="zh-CN"/>
        </w:rPr>
      </w:pPr>
    </w:p>
    <w:p>
      <w:pPr>
        <w:pStyle w:val="2"/>
        <w:spacing w:line="360" w:lineRule="auto"/>
        <w:jc w:val="center"/>
        <w:rPr>
          <w:rFonts w:hint="eastAsia" w:ascii="Times New Roman" w:hAnsi="Times New Roman" w:eastAsia="黑体" w:cs="Times New Roman"/>
          <w:sz w:val="32"/>
          <w:szCs w:val="32"/>
          <w:lang w:val="en-US" w:eastAsia="zh-CN" w:bidi="zh-CN"/>
        </w:rPr>
      </w:pPr>
    </w:p>
    <w:p>
      <w:pPr>
        <w:pStyle w:val="2"/>
        <w:spacing w:line="360" w:lineRule="auto"/>
        <w:jc w:val="center"/>
        <w:rPr>
          <w:rFonts w:hint="eastAsia" w:ascii="Times New Roman" w:hAnsi="Times New Roman" w:eastAsia="黑体" w:cs="Times New Roman"/>
          <w:sz w:val="32"/>
          <w:szCs w:val="32"/>
          <w:lang w:val="en-US" w:eastAsia="zh-CN" w:bidi="zh-CN"/>
        </w:rPr>
      </w:pPr>
      <w:r>
        <w:rPr>
          <w:rFonts w:hint="eastAsia" w:ascii="Times New Roman" w:hAnsi="Times New Roman" w:eastAsia="黑体" w:cs="Times New Roman"/>
          <w:sz w:val="32"/>
          <w:szCs w:val="32"/>
          <w:lang w:val="en-US" w:eastAsia="zh-CN" w:bidi="zh-CN"/>
        </w:rPr>
        <w:t>第 5 部分：消防措施</w:t>
      </w:r>
    </w:p>
    <w:p>
      <w:pPr>
        <w:tabs>
          <w:tab w:val="left" w:pos="3244"/>
        </w:tabs>
        <w:spacing w:before="0" w:line="360" w:lineRule="auto"/>
        <w:ind w:right="0"/>
        <w:jc w:val="left"/>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sz w:val="24"/>
          <w:szCs w:val="24"/>
        </w:rPr>
        <w:t>合适的灭火剂：</w:t>
      </w:r>
      <w:r>
        <w:rPr>
          <w:rFonts w:hint="eastAsia" w:asciiTheme="minorEastAsia" w:hAnsiTheme="minorEastAsia" w:eastAsiaTheme="minorEastAsia" w:cstheme="minorEastAsia"/>
          <w:b w:val="0"/>
          <w:sz w:val="24"/>
          <w:szCs w:val="24"/>
        </w:rPr>
        <w:t>干粉，泡沫，雾状水，二氧化碳</w:t>
      </w:r>
    </w:p>
    <w:p>
      <w:pPr>
        <w:tabs>
          <w:tab w:val="left" w:pos="3244"/>
        </w:tabs>
        <w:spacing w:before="0" w:line="360" w:lineRule="auto"/>
        <w:ind w:right="0"/>
        <w:jc w:val="left"/>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sz w:val="24"/>
          <w:szCs w:val="24"/>
        </w:rPr>
        <w:t>特殊危险性：</w:t>
      </w:r>
      <w:r>
        <w:rPr>
          <w:rFonts w:hint="eastAsia" w:asciiTheme="minorEastAsia" w:hAnsiTheme="minorEastAsia" w:eastAsiaTheme="minorEastAsia" w:cstheme="minorEastAsia"/>
          <w:b w:val="0"/>
          <w:sz w:val="24"/>
          <w:szCs w:val="24"/>
        </w:rPr>
        <w:t>小心，燃烧或高温下可能分解产生毒烟。</w:t>
      </w:r>
    </w:p>
    <w:p>
      <w:pPr>
        <w:pStyle w:val="7"/>
        <w:spacing w:line="360" w:lineRule="auto"/>
        <w:rPr>
          <w:rFonts w:hint="eastAsia" w:asciiTheme="minorEastAsia" w:hAnsiTheme="minorEastAsia" w:eastAsiaTheme="minorEastAsia" w:cstheme="minorEastAsia"/>
          <w:b w:val="0"/>
          <w:sz w:val="24"/>
          <w:szCs w:val="24"/>
          <w:lang w:val="en-US"/>
        </w:rPr>
      </w:pPr>
      <w:r>
        <w:rPr>
          <w:rFonts w:hint="eastAsia" w:asciiTheme="minorEastAsia" w:hAnsiTheme="minorEastAsia" w:eastAsiaTheme="minorEastAsia" w:cstheme="minorEastAsia"/>
          <w:b/>
          <w:sz w:val="24"/>
          <w:szCs w:val="24"/>
        </w:rPr>
        <w:t>特定方法：</w:t>
      </w:r>
      <w:r>
        <w:rPr>
          <w:rFonts w:hint="eastAsia" w:asciiTheme="minorEastAsia" w:hAnsiTheme="minorEastAsia" w:eastAsiaTheme="minorEastAsia" w:cstheme="minorEastAsia"/>
          <w:b w:val="0"/>
          <w:sz w:val="24"/>
          <w:szCs w:val="24"/>
        </w:rPr>
        <w:t>从上风处灭火，根据周围环境选择合适的灭火方法</w:t>
      </w:r>
      <w:r>
        <w:rPr>
          <w:rFonts w:hint="eastAsia" w:asciiTheme="minorEastAsia" w:hAnsiTheme="minorEastAsia" w:eastAsiaTheme="minorEastAsia" w:cstheme="minorEastAsia"/>
          <w:b w:val="0"/>
          <w:spacing w:val="-18"/>
          <w:sz w:val="24"/>
          <w:szCs w:val="24"/>
        </w:rPr>
        <w:t>。</w:t>
      </w:r>
      <w:r>
        <w:rPr>
          <w:rFonts w:hint="eastAsia" w:asciiTheme="minorEastAsia" w:hAnsiTheme="minorEastAsia" w:eastAsiaTheme="minorEastAsia" w:cstheme="minorEastAsia"/>
          <w:b w:val="0"/>
          <w:sz w:val="24"/>
          <w:szCs w:val="24"/>
        </w:rPr>
        <w:t>非相关人员应该撤离至安全地方。周围一旦着火：如果安全，移去可</w:t>
      </w:r>
      <w:r>
        <w:rPr>
          <w:rFonts w:hint="eastAsia" w:asciiTheme="minorEastAsia" w:hAnsiTheme="minorEastAsia" w:eastAsiaTheme="minorEastAsia" w:cstheme="minorEastAsia"/>
          <w:b w:val="0"/>
          <w:sz w:val="24"/>
          <w:szCs w:val="24"/>
          <w:lang w:val="en-US" w:eastAsia="zh-CN"/>
        </w:rPr>
        <w:t>移动容器。</w:t>
      </w:r>
    </w:p>
    <w:p>
      <w:pPr>
        <w:pStyle w:val="7"/>
        <w:spacing w:before="4"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消防员的特殊防护用具：</w:t>
      </w:r>
      <w:r>
        <w:rPr>
          <w:rFonts w:hint="eastAsia" w:asciiTheme="minorEastAsia" w:hAnsiTheme="minorEastAsia" w:eastAsiaTheme="minorEastAsia" w:cstheme="minorEastAsia"/>
          <w:b w:val="0"/>
          <w:sz w:val="24"/>
          <w:szCs w:val="24"/>
        </w:rPr>
        <w:t>灭火时，一定要穿戴个人防护用品。</w:t>
      </w:r>
    </w:p>
    <w:p>
      <w:pPr>
        <w:spacing w:before="0"/>
        <w:ind w:left="114" w:right="0" w:firstLine="0"/>
        <w:jc w:val="center"/>
        <w:rPr>
          <w:rFonts w:hint="eastAsia" w:asciiTheme="minorEastAsia" w:hAnsiTheme="minorEastAsia" w:eastAsiaTheme="minorEastAsia" w:cstheme="minorEastAsia"/>
          <w:sz w:val="24"/>
          <w:szCs w:val="24"/>
        </w:rPr>
      </w:pPr>
      <w:r>
        <w:rPr>
          <w:rFonts w:hint="eastAsia" w:ascii="Times New Roman" w:hAnsi="Times New Roman" w:eastAsia="黑体" w:cs="Times New Roman"/>
          <w:sz w:val="32"/>
          <w:szCs w:val="32"/>
          <w:lang w:val="en-US" w:eastAsia="zh-CN" w:bidi="zh-CN"/>
        </w:rPr>
        <w:t>第 6 部分：泄露应急处理</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人员防护措施、防护装备和应急处置程序</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避免粉尘生成。 避免吸入蒸气、气雾或气体。有关个人防护,请看第8部分。</w:t>
      </w:r>
    </w:p>
    <w:p>
      <w:pPr>
        <w:pStyle w:val="4"/>
        <w:spacing w:before="135"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环境保护措施</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无特别的环境预防要求。</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泄漏化学品的收容、清除方法及所使用的处置材料</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扫掉和铲掉。 放入合适的封闭的容器中待处理。</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参考其他部分</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丢弃处理请参阅第13节。</w:t>
      </w:r>
    </w:p>
    <w:p>
      <w:pPr>
        <w:pStyle w:val="2"/>
        <w:ind w:left="0" w:leftChars="0" w:firstLine="0" w:firstLineChars="0"/>
        <w:jc w:val="center"/>
      </w:pPr>
      <w:r>
        <w:rPr>
          <w:rFonts w:hint="eastAsia" w:ascii="Times New Roman" w:hAnsi="Times New Roman" w:eastAsia="黑体" w:cs="Times New Roman"/>
          <w:sz w:val="32"/>
          <w:szCs w:val="32"/>
          <w:lang w:val="en-US" w:eastAsia="zh-CN" w:bidi="zh-CN"/>
        </w:rPr>
        <w:t>第 7 部分：操作处置与储存</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安全操作的注意事项</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在有粉尘生成的地方,提供合适的排风设备。有关预防措施，请参见章节2.2。</w:t>
      </w:r>
    </w:p>
    <w:p>
      <w:pPr>
        <w:pStyle w:val="4"/>
        <w:spacing w:before="135"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安全储存的条件,包括任何不兼容性</w:t>
      </w:r>
    </w:p>
    <w:p>
      <w:pPr>
        <w:pStyle w:val="7"/>
        <w:spacing w:before="137" w:line="360" w:lineRule="auto"/>
        <w:rPr>
          <w:rFonts w:hint="eastAsia" w:asciiTheme="minorEastAsia" w:hAnsiTheme="minorEastAsia" w:eastAsiaTheme="minorEastAsia" w:cstheme="minorEastAsia"/>
          <w:sz w:val="24"/>
          <w:szCs w:val="24"/>
        </w:rPr>
        <w:sectPr>
          <w:type w:val="continuous"/>
          <w:pgSz w:w="11900" w:h="16840"/>
          <w:pgMar w:top="1440" w:right="1800" w:bottom="1440" w:left="1800" w:header="720" w:footer="720" w:gutter="0"/>
        </w:sectPr>
      </w:pPr>
      <w:r>
        <w:rPr>
          <w:rFonts w:hint="eastAsia" w:asciiTheme="minorEastAsia" w:hAnsiTheme="minorEastAsia" w:eastAsiaTheme="minorEastAsia" w:cstheme="minorEastAsia"/>
          <w:sz w:val="24"/>
          <w:szCs w:val="24"/>
        </w:rPr>
        <w:t>贮存在阴凉处。 使容器保持密闭，储存在干燥通风处。</w:t>
      </w:r>
    </w:p>
    <w:p>
      <w:pPr>
        <w:pStyle w:val="7"/>
      </w:pPr>
    </w:p>
    <w:p>
      <w:pPr>
        <w:pStyle w:val="2"/>
        <w:ind w:left="0" w:leftChars="0" w:firstLine="0" w:firstLineChars="0"/>
        <w:jc w:val="center"/>
        <w:rPr>
          <w:rFonts w:hint="eastAsia" w:ascii="Times New Roman" w:hAnsi="Times New Roman" w:eastAsia="黑体" w:cs="Times New Roman"/>
          <w:sz w:val="32"/>
          <w:szCs w:val="32"/>
          <w:lang w:val="en-US" w:eastAsia="zh-CN" w:bidi="zh-CN"/>
        </w:rPr>
      </w:pPr>
    </w:p>
    <w:p>
      <w:pPr>
        <w:pStyle w:val="2"/>
        <w:ind w:left="0" w:leftChars="0" w:firstLine="0" w:firstLineChars="0"/>
        <w:jc w:val="center"/>
      </w:pPr>
      <w:r>
        <w:rPr>
          <w:rFonts w:hint="eastAsia" w:ascii="Times New Roman" w:hAnsi="Times New Roman" w:eastAsia="黑体" w:cs="Times New Roman"/>
          <w:sz w:val="32"/>
          <w:szCs w:val="32"/>
          <w:lang w:val="en-US" w:eastAsia="zh-CN" w:bidi="zh-CN"/>
        </w:rPr>
        <w:t>第 8 部分：接触控制/个体防护</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控制参数</w:t>
      </w:r>
    </w:p>
    <w:p>
      <w:pPr>
        <w:pStyle w:val="6"/>
        <w:spacing w:before="101" w:line="36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危害组成及职业接触限值</w:t>
      </w:r>
    </w:p>
    <w:p>
      <w:pPr>
        <w:pStyle w:val="7"/>
        <w:spacing w:before="47" w:line="36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没有已知的国家规定的暴露极限。</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暴露控制</w:t>
      </w:r>
    </w:p>
    <w:p>
      <w:pPr>
        <w:pStyle w:val="6"/>
        <w:spacing w:before="100" w:line="36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适当的技术控制</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常规的工业卫生操作。</w:t>
      </w: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个体防护装备</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5"/>
          <w:szCs w:val="15"/>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眼面防护</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请使用经官方标准如NIOSH (美国) 或 EN 166(欧盟) 检测与批准的设备防护眼部。</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皮肤保护</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戴手套取手套在使用前必须受检查。请使用合适的方法脱除手套(不要接触手套外部表面),避免任何皮肤部位接触此产品。使用后请将被污染过的手套根据相关法律法规和有效的实验室规章程序谨慎处理。请清洗并吹干双手</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所选择的保护手套必须符合EU的89/686/EEC规定和从它衍生出来的EN 376标准。</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身体保护</w:t>
      </w:r>
    </w:p>
    <w:p>
      <w:pPr>
        <w:pStyle w:val="7"/>
        <w:spacing w:line="360" w:lineRule="auto"/>
        <w:rPr>
          <w:b/>
          <w:bCs/>
          <w:sz w:val="14"/>
        </w:rPr>
      </w:pPr>
      <w:r>
        <w:rPr>
          <w:rFonts w:hint="eastAsia" w:asciiTheme="minorEastAsia" w:hAnsiTheme="minorEastAsia" w:eastAsiaTheme="minorEastAsia" w:cstheme="minorEastAsia"/>
          <w:sz w:val="18"/>
          <w:szCs w:val="18"/>
          <w:lang w:val="en-US" w:eastAsia="zh-CN" w:bidi="zh-CN"/>
        </w:rPr>
        <w:t>根据危险物质的类型，浓度和量，以及特定的工作场所选择身体保护措施。防护设备的类型必须根据特定工作场所中的危险物的浓度和数量来选择。</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呼吸系统防护</w:t>
      </w:r>
    </w:p>
    <w:p>
      <w:pPr>
        <w:pStyle w:val="7"/>
        <w:spacing w:line="360" w:lineRule="auto"/>
        <w:rPr>
          <w:rFonts w:hint="eastAsia" w:asciiTheme="minorEastAsia" w:hAnsiTheme="minorEastAsia" w:eastAsiaTheme="minorEastAsia" w:cstheme="minorEastAsia"/>
          <w:b/>
          <w:spacing w:val="8"/>
          <w:sz w:val="14"/>
          <w:lang w:val="en-US" w:eastAsia="zh-CN"/>
        </w:rPr>
      </w:pPr>
      <w:r>
        <w:rPr>
          <w:rFonts w:hint="eastAsia" w:asciiTheme="minorEastAsia" w:hAnsiTheme="minorEastAsia" w:eastAsiaTheme="minorEastAsia" w:cstheme="minorEastAsia"/>
          <w:sz w:val="18"/>
          <w:szCs w:val="18"/>
          <w:lang w:val="en-US" w:eastAsia="zh-CN" w:bidi="zh-CN"/>
        </w:rPr>
        <w:t>不需要保护呼吸。如需防护粉尘损害，请使用N95型（US）或P1型（EN 143)防尘面具。呼吸器使用经过测试并通过政府标准如NIOSH（US）或CEN（EU）的呼吸器和零件。</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环境暴露的控制</w:t>
      </w:r>
    </w:p>
    <w:p>
      <w:pPr>
        <w:spacing w:before="0" w:line="360" w:lineRule="auto"/>
        <w:ind w:right="614"/>
        <w:jc w:val="left"/>
        <w:rPr>
          <w:rFonts w:hint="eastAsia" w:asciiTheme="minorEastAsia" w:hAnsiTheme="minorEastAsia" w:eastAsiaTheme="minorEastAsia" w:cstheme="minorEastAsia"/>
          <w:sz w:val="18"/>
          <w:szCs w:val="18"/>
          <w:lang w:val="en-US" w:eastAsia="zh-CN" w:bidi="zh-CN"/>
        </w:rPr>
      </w:pPr>
      <w:r>
        <w:rPr>
          <w:rFonts w:hint="eastAsia" w:asciiTheme="minorEastAsia" w:hAnsiTheme="minorEastAsia" w:eastAsiaTheme="minorEastAsia" w:cstheme="minorEastAsia"/>
          <w:sz w:val="18"/>
          <w:szCs w:val="18"/>
          <w:lang w:val="en-US" w:eastAsia="zh-CN" w:bidi="zh-CN"/>
        </w:rPr>
        <w:t>无特别的环境预防要求。</w:t>
      </w:r>
    </w:p>
    <w:p>
      <w:pPr>
        <w:pStyle w:val="7"/>
        <w:spacing w:line="360" w:lineRule="auto"/>
        <w:rPr>
          <w:rFonts w:hint="eastAsia" w:asciiTheme="minorEastAsia" w:hAnsiTheme="minorEastAsia" w:eastAsiaTheme="minorEastAsia" w:cstheme="minorEastAsia"/>
          <w:sz w:val="24"/>
          <w:szCs w:val="24"/>
        </w:rPr>
      </w:pPr>
    </w:p>
    <w:p>
      <w:pPr>
        <w:pStyle w:val="7"/>
        <w:spacing w:before="3"/>
      </w:pPr>
    </w:p>
    <w:p>
      <w:pPr>
        <w:pStyle w:val="2"/>
        <w:ind w:left="0" w:leftChars="0" w:firstLine="0" w:firstLineChars="0"/>
        <w:jc w:val="center"/>
        <w:rPr>
          <w:rFonts w:hint="eastAsia" w:ascii="Times New Roman" w:hAnsi="Times New Roman" w:eastAsia="黑体" w:cs="Times New Roman"/>
          <w:sz w:val="32"/>
          <w:szCs w:val="32"/>
          <w:lang w:val="en-US" w:eastAsia="zh-CN" w:bidi="zh-CN"/>
        </w:rPr>
      </w:pPr>
      <w:r>
        <w:rPr>
          <w:rFonts w:hint="eastAsia" w:ascii="Times New Roman" w:hAnsi="Times New Roman" w:eastAsia="黑体" w:cs="Times New Roman"/>
          <w:sz w:val="32"/>
          <w:szCs w:val="32"/>
          <w:lang w:val="en-US" w:eastAsia="zh-CN" w:bidi="zh-CN"/>
        </w:rPr>
        <w:t>第 9 部分：理化特性</w:t>
      </w:r>
    </w:p>
    <w:p>
      <w:pPr>
        <w:pStyle w:val="4"/>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基本的理化特性的信息</w:t>
      </w:r>
    </w:p>
    <w:p>
      <w:pPr>
        <w:rPr>
          <w:rFonts w:hint="eastAsia" w:asciiTheme="minorEastAsia" w:hAnsiTheme="minorEastAsia" w:eastAsiaTheme="minorEastAsia" w:cstheme="minorEastAsia"/>
          <w:sz w:val="21"/>
          <w:szCs w:val="21"/>
          <w:lang w:val="en-US" w:eastAsia="zh-CN"/>
        </w:rPr>
      </w:pP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外观与性状                   形状：固体 颜色：白色；极淡黄色</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气味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气味阈值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PH值                         无数据资料</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熔点/凝固点                  熔点/熔点范围：</w:t>
      </w:r>
      <w:r>
        <w:rPr>
          <w:rFonts w:hint="eastAsia" w:asciiTheme="minorEastAsia" w:hAnsiTheme="minorEastAsia" w:eastAsiaTheme="minorEastAsia" w:cstheme="minorEastAsia"/>
          <w:i w:val="0"/>
          <w:caps w:val="0"/>
          <w:color w:val="222222"/>
          <w:spacing w:val="0"/>
          <w:sz w:val="21"/>
          <w:szCs w:val="21"/>
          <w:shd w:val="clear" w:fill="FFFFFF"/>
          <w:lang w:val="en-US" w:eastAsia="zh-CN"/>
        </w:rPr>
        <w:t>231℃</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初沸点和沸程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闪点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蒸发速率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易燃性（固体、气体）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蒸气压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蒸气密度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密度/相对密度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水溶性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正辛醇/水分配系数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自燃温度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分解温度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黏度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爆炸特性                     无数据资料</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氧化性                       无数据资料</w:t>
      </w:r>
    </w:p>
    <w:p>
      <w:pPr>
        <w:spacing w:after="0"/>
        <w:rPr>
          <w:rFonts w:hint="eastAsia" w:asciiTheme="minorEastAsia" w:hAnsiTheme="minorEastAsia" w:eastAsiaTheme="minorEastAsia" w:cstheme="minorEastAsia"/>
        </w:rPr>
      </w:pPr>
    </w:p>
    <w:p>
      <w:pPr>
        <w:pStyle w:val="4"/>
        <w:spacing w:before="5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其他安全信息</w:t>
      </w:r>
    </w:p>
    <w:p>
      <w:pPr>
        <w:pStyle w:val="7"/>
        <w:spacing w:before="18"/>
        <w:rPr>
          <w:rFonts w:hint="eastAsia" w:asciiTheme="minorEastAsia" w:hAnsiTheme="minorEastAsia" w:eastAsiaTheme="minorEastAsia" w:cstheme="minorEastAsia"/>
          <w:b/>
          <w:sz w:val="7"/>
        </w:rPr>
      </w:pPr>
    </w:p>
    <w:p>
      <w:pPr>
        <w:spacing w:after="0"/>
        <w:rPr>
          <w:rFonts w:hint="eastAsia" w:asciiTheme="minorEastAsia" w:hAnsiTheme="minorEastAsia" w:eastAsiaTheme="minorEastAsia" w:cstheme="minorEastAsia"/>
        </w:rPr>
        <w:sectPr>
          <w:type w:val="continuous"/>
          <w:pgSz w:w="11900" w:h="16840"/>
          <w:pgMar w:top="1440" w:right="1800" w:bottom="1440" w:left="1800" w:header="0" w:footer="660" w:gutter="0"/>
        </w:sectPr>
      </w:pPr>
      <w:r>
        <w:rPr>
          <w:rFonts w:hint="eastAsia" w:asciiTheme="minorEastAsia" w:hAnsiTheme="minorEastAsia" w:eastAsiaTheme="minorEastAsia" w:cstheme="minorEastAsia"/>
          <w:sz w:val="21"/>
          <w:szCs w:val="21"/>
        </w:rPr>
        <w:t>无数据资料</w:t>
      </w:r>
    </w:p>
    <w:p>
      <w:pPr>
        <w:pStyle w:val="2"/>
        <w:ind w:left="0" w:leftChars="0" w:firstLine="0" w:firstLineChars="0"/>
        <w:rPr>
          <w:color w:val="333333"/>
        </w:rPr>
      </w:pPr>
    </w:p>
    <w:p>
      <w:pPr>
        <w:pStyle w:val="2"/>
        <w:ind w:left="0" w:leftChars="0" w:firstLine="0" w:firstLineChars="0"/>
        <w:jc w:val="center"/>
        <w:rPr>
          <w:rFonts w:hint="eastAsia" w:ascii="Times New Roman" w:hAnsi="Times New Roman" w:eastAsia="黑体" w:cs="Times New Roman"/>
          <w:sz w:val="32"/>
          <w:szCs w:val="32"/>
          <w:lang w:val="en-US" w:eastAsia="zh-CN" w:bidi="zh-CN"/>
        </w:rPr>
      </w:pPr>
      <w:r>
        <w:rPr>
          <w:rFonts w:hint="eastAsia" w:ascii="Times New Roman" w:hAnsi="Times New Roman" w:eastAsia="黑体" w:cs="Times New Roman"/>
          <w:sz w:val="32"/>
          <w:szCs w:val="32"/>
          <w:lang w:val="en-US" w:eastAsia="zh-CN" w:bidi="zh-CN"/>
        </w:rPr>
        <w:t>第 10 部分：稳定性和反应性</w:t>
      </w:r>
    </w:p>
    <w:p>
      <w:pPr>
        <w:pStyle w:val="4"/>
        <w:spacing w:before="99"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稳定性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在建议的贮存条件下是稳定的。</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w w:val="95"/>
          <w:sz w:val="24"/>
          <w:szCs w:val="24"/>
        </w:rPr>
        <w:t>危险反应</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应避免的条件</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禁配物</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强氧化剂</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危险的分解产物</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 xml:space="preserve">在着火情况下，会分解生成有害物质。 </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pacing w:val="-4"/>
          <w:sz w:val="24"/>
          <w:szCs w:val="24"/>
        </w:rPr>
        <w:t>碳氧化物其他分解产物</w:t>
      </w:r>
      <w:r>
        <w:rPr>
          <w:rFonts w:hint="eastAsia" w:asciiTheme="minorEastAsia" w:hAnsiTheme="minorEastAsia" w:eastAsiaTheme="minorEastAsia" w:cstheme="minorEastAsia"/>
          <w:spacing w:val="-4"/>
          <w:sz w:val="24"/>
          <w:szCs w:val="24"/>
          <w:lang w:eastAsia="zh-CN"/>
        </w:rPr>
        <w:t>、</w:t>
      </w:r>
      <w:r>
        <w:rPr>
          <w:rFonts w:hint="eastAsia" w:asciiTheme="minorEastAsia" w:hAnsiTheme="minorEastAsia" w:eastAsiaTheme="minorEastAsia" w:cstheme="minorEastAsia"/>
          <w:spacing w:val="-4"/>
          <w:sz w:val="24"/>
          <w:szCs w:val="24"/>
          <w:lang w:val="en-US" w:eastAsia="zh-CN"/>
        </w:rPr>
        <w:t>氟化氢</w:t>
      </w:r>
      <w:bookmarkStart w:id="2" w:name="_GoBack"/>
      <w:bookmarkEnd w:id="2"/>
      <w:r>
        <w:rPr>
          <w:rFonts w:hint="eastAsia" w:asciiTheme="minorEastAsia" w:hAnsiTheme="minorEastAsia" w:eastAsiaTheme="minorEastAsia" w:cstheme="minorEastAsia"/>
          <w:spacing w:val="-4"/>
          <w:sz w:val="24"/>
          <w:szCs w:val="24"/>
        </w:rPr>
        <w:t xml:space="preserve"> </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z w:val="24"/>
          <w:szCs w:val="24"/>
        </w:rPr>
        <w:t>无数据资料</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當起火時:</w:t>
      </w:r>
      <w:r>
        <w:rPr>
          <w:rFonts w:hint="eastAsia" w:asciiTheme="minorEastAsia" w:hAnsiTheme="minorEastAsia" w:eastAsiaTheme="minorEastAsia" w:cstheme="minorEastAsia"/>
          <w:spacing w:val="-11"/>
          <w:sz w:val="24"/>
          <w:szCs w:val="24"/>
        </w:rPr>
        <w:t xml:space="preserve">見第 </w:t>
      </w:r>
      <w:r>
        <w:rPr>
          <w:rFonts w:hint="eastAsia" w:asciiTheme="minorEastAsia" w:hAnsiTheme="minorEastAsia" w:eastAsiaTheme="minorEastAsia" w:cstheme="minorEastAsia"/>
          <w:sz w:val="24"/>
          <w:szCs w:val="24"/>
        </w:rPr>
        <w:t>5 節滅火</w:t>
      </w:r>
      <w:r>
        <w:rPr>
          <w:rFonts w:hint="eastAsia" w:asciiTheme="minorEastAsia" w:hAnsiTheme="minorEastAsia" w:eastAsiaTheme="minorEastAsia" w:cstheme="minorEastAsia"/>
          <w:sz w:val="24"/>
          <w:szCs w:val="24"/>
          <w:lang w:val="en-US" w:eastAsia="zh-CN"/>
        </w:rPr>
        <w:t>措施</w:t>
      </w:r>
    </w:p>
    <w:p>
      <w:pPr>
        <w:spacing w:line="360" w:lineRule="auto"/>
        <w:rPr>
          <w:rFonts w:hint="eastAsia" w:asciiTheme="minorEastAsia" w:hAnsiTheme="minorEastAsia" w:eastAsiaTheme="minorEastAsia" w:cstheme="minorEastAsia"/>
          <w:sz w:val="24"/>
          <w:szCs w:val="24"/>
          <w:lang w:val="en-US" w:eastAsia="zh-CN"/>
        </w:rPr>
      </w:pPr>
    </w:p>
    <w:p>
      <w:pPr>
        <w:spacing w:before="111"/>
        <w:ind w:left="114" w:right="0" w:firstLine="0"/>
        <w:jc w:val="center"/>
        <w:rPr>
          <w:sz w:val="21"/>
        </w:rPr>
      </w:pPr>
      <w:r>
        <w:rPr>
          <w:rFonts w:hint="eastAsia" w:ascii="Times New Roman" w:hAnsi="Times New Roman" w:eastAsia="黑体" w:cs="Times New Roman"/>
          <w:sz w:val="32"/>
          <w:szCs w:val="32"/>
          <w:lang w:val="en-US" w:eastAsia="zh-CN" w:bidi="zh-CN"/>
        </w:rPr>
        <w:t>第 11 部分：毒理学信息</w:t>
      </w:r>
    </w:p>
    <w:p>
      <w:pPr>
        <w:pStyle w:val="7"/>
        <w:rPr>
          <w:sz w:val="16"/>
        </w:rPr>
      </w:pPr>
    </w:p>
    <w:p>
      <w:pPr>
        <w:pStyle w:val="4"/>
        <w:spacing w:line="360" w:lineRule="auto"/>
        <w:ind w:left="0" w:leftChars="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bCs/>
          <w:sz w:val="24"/>
          <w:szCs w:val="24"/>
        </w:rPr>
        <w:t>毒理学影响的信息</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急性毒性</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皮肤腐蚀/刺激</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严重眼睛损伤/眼刺激</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呼吸或皮肤过敏</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生殖细胞致突变性</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en-US" w:bidi="en-US"/>
        </w:rPr>
      </w:pPr>
      <w:r>
        <w:rPr>
          <w:rFonts w:hint="eastAsia" w:asciiTheme="minorEastAsia" w:hAnsiTheme="minorEastAsia" w:eastAsiaTheme="minorEastAsia" w:cstheme="minorEastAsia"/>
          <w:b/>
          <w:bCs/>
          <w:sz w:val="21"/>
          <w:szCs w:val="21"/>
          <w:lang w:val="en-US" w:eastAsia="en-US" w:bidi="en-US"/>
        </w:rPr>
        <w:t>致癌性</w:t>
      </w:r>
    </w:p>
    <w:p>
      <w:pPr>
        <w:spacing w:before="37" w:line="360" w:lineRule="auto"/>
        <w:ind w:right="594"/>
        <w:jc w:val="left"/>
        <w:rPr>
          <w:rFonts w:hint="eastAsia" w:asciiTheme="minorEastAsia" w:hAnsiTheme="minorEastAsia" w:eastAsiaTheme="minorEastAsia" w:cstheme="minorEastAsia"/>
          <w:b w:val="0"/>
          <w:bCs w:val="0"/>
          <w:sz w:val="21"/>
          <w:szCs w:val="21"/>
          <w:lang w:val="en-US" w:eastAsia="en-US" w:bidi="en-US"/>
        </w:rPr>
      </w:pPr>
      <w:r>
        <w:rPr>
          <w:rFonts w:hint="eastAsia" w:asciiTheme="minorEastAsia" w:hAnsiTheme="minorEastAsia" w:eastAsiaTheme="minorEastAsia" w:cstheme="minorEastAsia"/>
          <w:b w:val="0"/>
          <w:bCs w:val="0"/>
          <w:sz w:val="21"/>
          <w:szCs w:val="21"/>
          <w:lang w:val="en-US" w:eastAsia="en-US" w:bidi="en-US"/>
        </w:rPr>
        <w:t>IARC: No component of this product present at levels greater than or equal to 0.1% is identified as probable, possible or confirmed human carcinogen by IARC.</w:t>
      </w:r>
    </w:p>
    <w:p>
      <w:pPr>
        <w:spacing w:before="65" w:line="360" w:lineRule="auto"/>
        <w:ind w:right="0"/>
        <w:jc w:val="left"/>
        <w:rPr>
          <w:rFonts w:hint="eastAsia" w:asciiTheme="minorEastAsia" w:hAnsiTheme="minorEastAsia" w:eastAsiaTheme="minorEastAsia" w:cstheme="minorEastAsia"/>
          <w:b/>
          <w:bCs/>
          <w:sz w:val="21"/>
          <w:szCs w:val="21"/>
          <w:lang w:val="en-US" w:eastAsia="en-US" w:bidi="en-US"/>
        </w:rPr>
      </w:pPr>
      <w:r>
        <w:rPr>
          <w:rFonts w:hint="eastAsia" w:asciiTheme="minorEastAsia" w:hAnsiTheme="minorEastAsia" w:eastAsiaTheme="minorEastAsia" w:cstheme="minorEastAsia"/>
          <w:b/>
          <w:bCs/>
          <w:sz w:val="21"/>
          <w:szCs w:val="21"/>
          <w:lang w:val="en-US" w:eastAsia="en-US" w:bidi="en-US"/>
        </w:rPr>
        <w:t>附加说明</w:t>
      </w:r>
    </w:p>
    <w:p>
      <w:pPr>
        <w:pStyle w:val="7"/>
        <w:spacing w:before="137" w:line="360" w:lineRule="auto"/>
        <w:rPr>
          <w:rFonts w:hint="eastAsia" w:asciiTheme="minorEastAsia" w:hAnsiTheme="minorEastAsia" w:eastAsiaTheme="minorEastAsia" w:cstheme="minorEastAsia"/>
          <w:b w:val="0"/>
          <w:bCs w:val="0"/>
          <w:sz w:val="21"/>
          <w:szCs w:val="21"/>
          <w:lang w:val="en-US" w:eastAsia="en-US" w:bidi="en-US"/>
        </w:rPr>
      </w:pPr>
      <w:r>
        <w:rPr>
          <w:rFonts w:hint="eastAsia" w:asciiTheme="minorEastAsia" w:hAnsiTheme="minorEastAsia" w:eastAsiaTheme="minorEastAsia" w:cstheme="minorEastAsia"/>
          <w:b w:val="0"/>
          <w:bCs w:val="0"/>
          <w:sz w:val="21"/>
          <w:szCs w:val="21"/>
          <w:lang w:val="en-US" w:eastAsia="en-US" w:bidi="en-US"/>
        </w:rPr>
        <w:t>化学物质毒性作用登记 : 无数据资料</w:t>
      </w:r>
    </w:p>
    <w:p>
      <w:pPr>
        <w:pStyle w:val="7"/>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en-US" w:bidi="en-US"/>
        </w:rPr>
        <w:t>据我们所知，此化学，物理和毒性性质尚未经完整的研究。</w:t>
      </w:r>
    </w:p>
    <w:p>
      <w:pPr>
        <w:pStyle w:val="7"/>
        <w:rPr>
          <w:rFonts w:hint="eastAsia" w:asciiTheme="minorEastAsia" w:hAnsiTheme="minorEastAsia" w:eastAsiaTheme="minorEastAsia" w:cstheme="minorEastAsia"/>
          <w:b w:val="0"/>
          <w:bCs w:val="0"/>
          <w:sz w:val="21"/>
          <w:szCs w:val="21"/>
          <w:lang w:val="en-US" w:eastAsia="zh-CN" w:bidi="en-US"/>
        </w:rPr>
      </w:pPr>
    </w:p>
    <w:p>
      <w:pPr>
        <w:pStyle w:val="7"/>
        <w:spacing w:before="8"/>
        <w:rPr>
          <w:sz w:val="20"/>
        </w:rPr>
      </w:pPr>
    </w:p>
    <w:p>
      <w:pPr>
        <w:spacing w:before="0"/>
        <w:ind w:right="0"/>
        <w:jc w:val="center"/>
        <w:rPr>
          <w:rFonts w:hint="eastAsia" w:asciiTheme="minorEastAsia" w:hAnsiTheme="minorEastAsia" w:eastAsiaTheme="minorEastAsia" w:cstheme="minorEastAsia"/>
          <w:sz w:val="21"/>
        </w:rPr>
      </w:pPr>
      <w:r>
        <w:rPr>
          <w:rFonts w:hint="eastAsia" w:ascii="黑体" w:hAnsi="黑体" w:eastAsia="黑体" w:cs="黑体"/>
          <w:b w:val="0"/>
          <w:bCs w:val="0"/>
          <w:sz w:val="32"/>
          <w:szCs w:val="32"/>
          <w:lang w:val="en-US" w:eastAsia="en-US" w:bidi="en-US"/>
        </w:rPr>
        <w:t>第 12 部分：生态学信息</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w w:val="95"/>
          <w:sz w:val="24"/>
          <w:szCs w:val="24"/>
        </w:rPr>
        <w:t>生态毒性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无数据资料</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持久性和降解性</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生物蓄积潜力</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土壤中的迁移性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spacing w:before="20" w:line="360" w:lineRule="auto"/>
        <w:ind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PBT和vPvB的结果评价</w:t>
      </w:r>
    </w:p>
    <w:p>
      <w:pPr>
        <w:spacing w:before="20" w:line="360" w:lineRule="auto"/>
        <w:ind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由于化学品安全评估未要求/未开展，因此 PBT/vPvB 评估不可用</w:t>
      </w:r>
    </w:p>
    <w:p>
      <w:pPr>
        <w:spacing w:before="20" w:line="360" w:lineRule="auto"/>
        <w:ind w:right="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其他环境有害作用</w:t>
      </w:r>
    </w:p>
    <w:p>
      <w:pPr>
        <w:pStyle w:val="7"/>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无数据资</w:t>
      </w:r>
      <w:r>
        <w:rPr>
          <w:rFonts w:hint="eastAsia" w:asciiTheme="minorEastAsia" w:hAnsiTheme="minorEastAsia" w:eastAsiaTheme="minorEastAsia" w:cstheme="minorEastAsia"/>
          <w:sz w:val="24"/>
          <w:szCs w:val="24"/>
          <w:lang w:val="en-US" w:eastAsia="zh-CN"/>
        </w:rPr>
        <w:t>料</w:t>
      </w:r>
    </w:p>
    <w:p>
      <w:pPr>
        <w:pStyle w:val="7"/>
        <w:spacing w:line="360" w:lineRule="auto"/>
        <w:rPr>
          <w:rFonts w:hint="eastAsia" w:asciiTheme="minorEastAsia" w:hAnsiTheme="minorEastAsia" w:eastAsiaTheme="minorEastAsia" w:cstheme="minorEastAsia"/>
          <w:sz w:val="24"/>
          <w:szCs w:val="24"/>
          <w:lang w:val="en-US" w:eastAsia="zh-CN"/>
        </w:rPr>
      </w:pPr>
    </w:p>
    <w:p>
      <w:pPr>
        <w:spacing w:before="0"/>
        <w:ind w:right="0"/>
        <w:jc w:val="center"/>
        <w:rPr>
          <w:rFonts w:hint="eastAsia" w:ascii="黑体" w:hAnsi="黑体" w:eastAsia="黑体" w:cs="黑体"/>
          <w:b w:val="0"/>
          <w:bCs w:val="0"/>
          <w:sz w:val="32"/>
          <w:szCs w:val="32"/>
          <w:lang w:val="en-US" w:eastAsia="en-US" w:bidi="en-US"/>
        </w:rPr>
      </w:pPr>
    </w:p>
    <w:p>
      <w:pPr>
        <w:spacing w:before="0"/>
        <w:ind w:right="0"/>
        <w:jc w:val="center"/>
        <w:rPr>
          <w:rFonts w:hint="eastAsia" w:ascii="黑体" w:hAnsi="黑体" w:eastAsia="黑体" w:cs="黑体"/>
          <w:b w:val="0"/>
          <w:bCs w:val="0"/>
          <w:sz w:val="32"/>
          <w:szCs w:val="32"/>
          <w:lang w:val="en-US" w:eastAsia="en-US" w:bidi="en-US"/>
        </w:rPr>
      </w:pPr>
      <w:r>
        <w:rPr>
          <w:rFonts w:hint="eastAsia" w:ascii="黑体" w:hAnsi="黑体" w:eastAsia="黑体" w:cs="黑体"/>
          <w:b w:val="0"/>
          <w:bCs w:val="0"/>
          <w:sz w:val="32"/>
          <w:szCs w:val="32"/>
          <w:lang w:val="en-US" w:eastAsia="en-US" w:bidi="en-US"/>
        </w:rPr>
        <w:t>第 13 部分：废弃处置</w:t>
      </w:r>
    </w:p>
    <w:p>
      <w:pPr>
        <w:pStyle w:val="7"/>
        <w:spacing w:before="3"/>
        <w:rPr>
          <w:rFonts w:hint="eastAsia" w:asciiTheme="minorEastAsia" w:hAnsiTheme="minorEastAsia" w:eastAsiaTheme="minorEastAsia" w:cstheme="minorEastAsia"/>
        </w:rPr>
      </w:pP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废物处理方法</w:t>
      </w: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产品</w:t>
      </w:r>
    </w:p>
    <w:p>
      <w:pPr>
        <w:spacing w:before="0" w:line="360" w:lineRule="auto"/>
        <w:ind w:right="0"/>
        <w:jc w:val="left"/>
        <w:rPr>
          <w:rFonts w:hint="eastAsia" w:asciiTheme="minorEastAsia" w:hAnsiTheme="minorEastAsia" w:eastAsiaTheme="minorEastAsia" w:cstheme="minorEastAsia"/>
          <w:color w:val="333333"/>
          <w:sz w:val="24"/>
          <w:szCs w:val="24"/>
          <w:lang w:val="en-US" w:eastAsia="zh-CN"/>
        </w:rPr>
      </w:pPr>
      <w:r>
        <w:rPr>
          <w:rFonts w:hint="eastAsia" w:asciiTheme="minorEastAsia" w:hAnsiTheme="minorEastAsia" w:eastAsiaTheme="minorEastAsia" w:cstheme="minorEastAsia"/>
          <w:color w:val="333333"/>
          <w:sz w:val="24"/>
          <w:szCs w:val="24"/>
          <w:lang w:val="en-US" w:eastAsia="zh-CN"/>
        </w:rPr>
        <w:t>将剩余的和不可回收的交由有许可证的公司处理</w:t>
      </w: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污染包装物</w:t>
      </w:r>
    </w:p>
    <w:p>
      <w:pPr>
        <w:spacing w:before="0" w:line="360" w:lineRule="auto"/>
        <w:ind w:right="0"/>
        <w:jc w:val="left"/>
        <w:rPr>
          <w:rFonts w:hint="eastAsia" w:asciiTheme="minorEastAsia" w:hAnsiTheme="minorEastAsia" w:eastAsiaTheme="minorEastAsia" w:cstheme="minorEastAsia"/>
          <w:color w:val="333333"/>
          <w:sz w:val="24"/>
          <w:szCs w:val="24"/>
          <w:lang w:val="en-US" w:eastAsia="zh-CN"/>
        </w:rPr>
      </w:pPr>
      <w:r>
        <w:rPr>
          <w:rFonts w:hint="eastAsia" w:asciiTheme="minorEastAsia" w:hAnsiTheme="minorEastAsia" w:eastAsiaTheme="minorEastAsia" w:cstheme="minorEastAsia"/>
          <w:color w:val="333333"/>
          <w:sz w:val="24"/>
          <w:szCs w:val="24"/>
          <w:lang w:val="en-US" w:eastAsia="zh-CN"/>
        </w:rPr>
        <w:t>按未用产品处置</w:t>
      </w:r>
    </w:p>
    <w:p>
      <w:pPr>
        <w:spacing w:before="0" w:line="360" w:lineRule="auto"/>
        <w:ind w:right="0"/>
        <w:jc w:val="left"/>
        <w:rPr>
          <w:rFonts w:hint="default" w:asciiTheme="minorEastAsia" w:hAnsiTheme="minorEastAsia" w:eastAsiaTheme="minorEastAsia" w:cstheme="minorEastAsia"/>
          <w:color w:val="333333"/>
          <w:sz w:val="24"/>
          <w:szCs w:val="24"/>
          <w:lang w:val="en-US" w:eastAsia="zh-CN"/>
        </w:rPr>
      </w:pPr>
    </w:p>
    <w:p>
      <w:pPr>
        <w:spacing w:before="0"/>
        <w:ind w:right="0"/>
        <w:jc w:val="center"/>
        <w:rPr>
          <w:rFonts w:hint="eastAsia" w:ascii="黑体" w:hAnsi="黑体" w:eastAsia="黑体" w:cs="黑体"/>
          <w:b w:val="0"/>
          <w:bCs w:val="0"/>
          <w:sz w:val="32"/>
          <w:szCs w:val="32"/>
          <w:lang w:val="en-US" w:eastAsia="en-US" w:bidi="en-US"/>
        </w:rPr>
      </w:pPr>
      <w:r>
        <w:rPr>
          <w:rFonts w:hint="eastAsia" w:ascii="黑体" w:hAnsi="黑体" w:eastAsia="黑体" w:cs="黑体"/>
          <w:b w:val="0"/>
          <w:bCs w:val="0"/>
          <w:sz w:val="32"/>
          <w:szCs w:val="32"/>
          <w:lang w:val="en-US" w:eastAsia="en-US" w:bidi="en-US"/>
        </w:rPr>
        <w:t>第 14 部分：运输信息</w:t>
      </w:r>
    </w:p>
    <w:p>
      <w:pPr>
        <w:spacing w:before="66"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联合国编号 / UN number</w:t>
      </w:r>
    </w:p>
    <w:p>
      <w:pPr>
        <w:spacing w:before="137"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spacing w:before="135"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联合国运输名称 / UN proper shipping name</w:t>
      </w:r>
    </w:p>
    <w:p>
      <w:pPr>
        <w:pStyle w:val="7"/>
        <w:spacing w:before="137"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非危险货物</w:t>
      </w:r>
    </w:p>
    <w:p>
      <w:pPr>
        <w:spacing w:before="69"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ADR/RID: 非危险货物 国际海运危规 : 非危险货物</w:t>
      </w:r>
    </w:p>
    <w:p>
      <w:pPr>
        <w:pStyle w:val="5"/>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IMDG: Not dangerous goods</w:t>
      </w:r>
    </w:p>
    <w:p>
      <w:pPr>
        <w:pStyle w:val="7"/>
        <w:spacing w:before="75"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国际空运危规 : 非危险货物</w:t>
      </w:r>
    </w:p>
    <w:p>
      <w:pPr>
        <w:pStyle w:val="5"/>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IATA-DGR: Not dangerous goods</w:t>
      </w:r>
    </w:p>
    <w:p>
      <w:pPr>
        <w:spacing w:before="141"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运输危险类别 / Transport hazard class(es)</w:t>
      </w:r>
    </w:p>
    <w:p>
      <w:pPr>
        <w:spacing w:before="137"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spacing w:before="136"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包裹组 / Packaging group</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pStyle w:val="3"/>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环境危害 / Environmental hazards</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ADR/RID 欧洲负责公路运输的机构/欧洲负责铁路运输的机构 : 否</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国际海运危险货物规则 (IMDG)海洋污染物（是/否） : 否</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国际空运危规 : 否</w:t>
      </w:r>
    </w:p>
    <w:p>
      <w:pPr>
        <w:pStyle w:val="3"/>
        <w:spacing w:before="135"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特殊防范措施 / Special precautions for user</w:t>
      </w:r>
    </w:p>
    <w:p>
      <w:pPr>
        <w:pStyle w:val="7"/>
        <w:spacing w:before="147" w:line="360" w:lineRule="auto"/>
        <w:ind w:left="114" w:right="57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请根据化学品性质选择合适的运输工具及相应的运输储存条件。运输工具应配备相应品种和数量的消防材料及泄露应急处理设备。如选择公路运输，请按规定路</w:t>
      </w:r>
      <w:r>
        <w:rPr>
          <w:rFonts w:hint="eastAsia" w:asciiTheme="minorEastAsia" w:hAnsiTheme="minorEastAsia" w:eastAsiaTheme="minorEastAsia" w:cstheme="minorEastAsia"/>
          <w:spacing w:val="-1"/>
          <w:sz w:val="24"/>
          <w:szCs w:val="24"/>
        </w:rPr>
        <w:t>线行驶。</w:t>
      </w:r>
    </w:p>
    <w:p>
      <w:pPr>
        <w:pStyle w:val="3"/>
        <w:spacing w:before="5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禁配物 / Incompatible materials</w:t>
      </w:r>
    </w:p>
    <w:p>
      <w:pPr>
        <w:pStyle w:val="7"/>
        <w:spacing w:before="147"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强氧化剂</w:t>
      </w:r>
    </w:p>
    <w:p>
      <w:pPr>
        <w:spacing w:before="0"/>
        <w:ind w:left="114" w:right="0" w:firstLine="0"/>
        <w:jc w:val="center"/>
        <w:rPr>
          <w:rFonts w:hint="eastAsia" w:asciiTheme="minorEastAsia" w:hAnsiTheme="minorEastAsia" w:eastAsiaTheme="minorEastAsia" w:cstheme="minorEastAsia"/>
          <w:sz w:val="21"/>
        </w:rPr>
      </w:pPr>
      <w:r>
        <w:rPr>
          <w:rFonts w:hint="eastAsia" w:ascii="黑体" w:hAnsi="黑体" w:eastAsia="黑体" w:cs="黑体"/>
          <w:b w:val="0"/>
          <w:bCs w:val="0"/>
          <w:sz w:val="32"/>
          <w:szCs w:val="32"/>
          <w:lang w:val="en-US" w:eastAsia="en-US" w:bidi="en-US"/>
        </w:rPr>
        <w:t>第 15 部分：法规信息</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专门对此物质或混合物的安全，健康和环境的规章 / 法规适用法规</w:t>
      </w:r>
    </w:p>
    <w:p>
      <w:pPr>
        <w:spacing w:line="360" w:lineRule="auto"/>
        <w:rPr>
          <w:rFonts w:hint="default" w:eastAsia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中华人民共和国职业病防治法</w:t>
      </w:r>
    </w:p>
    <w:p>
      <w:pPr>
        <w:spacing w:line="360" w:lineRule="auto"/>
        <w:rPr>
          <w:rFonts w:hint="default" w:asciiTheme="minorEastAsia" w:hAnsiTheme="minorEastAsia" w:eastAsiaTheme="minorEastAsia" w:cstheme="minorEastAsia"/>
          <w:b w:val="0"/>
          <w:bCs/>
          <w:spacing w:val="6"/>
          <w:sz w:val="24"/>
          <w:szCs w:val="24"/>
          <w:lang w:val="en-US"/>
        </w:rPr>
      </w:pPr>
      <w:r>
        <w:rPr>
          <w:rFonts w:hint="eastAsia" w:asciiTheme="minorEastAsia" w:hAnsiTheme="minorEastAsia" w:eastAsiaTheme="minorEastAsia" w:cstheme="minorEastAsia"/>
          <w:sz w:val="24"/>
          <w:szCs w:val="24"/>
        </w:rPr>
        <w:t>职业病危害因素分类目录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未列入</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危险化学品安全管理条例</w:t>
      </w:r>
    </w:p>
    <w:p>
      <w:pPr>
        <w:pStyle w:val="7"/>
        <w:spacing w:line="360" w:lineRule="auto"/>
        <w:rPr>
          <w:rFonts w:hint="eastAsia" w:asciiTheme="minorEastAsia" w:hAnsiTheme="minorEastAsia" w:eastAsiaTheme="minorEastAsia" w:cstheme="minorEastAsia"/>
          <w:w w:val="95"/>
          <w:sz w:val="24"/>
          <w:szCs w:val="24"/>
          <w:lang w:val="en-US" w:eastAsia="zh-CN"/>
        </w:rPr>
      </w:pPr>
      <w:r>
        <w:rPr>
          <w:rFonts w:hint="eastAsia" w:asciiTheme="minorEastAsia" w:hAnsiTheme="minorEastAsia" w:eastAsiaTheme="minorEastAsia" w:cstheme="minorEastAsia"/>
          <w:w w:val="95"/>
          <w:sz w:val="24"/>
          <w:szCs w:val="24"/>
        </w:rPr>
        <w:t>危险品化学品目录（2018）</w:t>
      </w:r>
      <w:r>
        <w:rPr>
          <w:rFonts w:hint="eastAsia" w:asciiTheme="minorEastAsia" w:hAnsiTheme="minorEastAsia" w:eastAsiaTheme="minorEastAsia" w:cstheme="minorEastAsia"/>
          <w:spacing w:val="18"/>
          <w:w w:val="95"/>
          <w:sz w:val="24"/>
          <w:szCs w:val="24"/>
        </w:rPr>
        <w:t xml:space="preserve">: </w:t>
      </w:r>
      <w:r>
        <w:rPr>
          <w:rFonts w:hint="eastAsia" w:asciiTheme="minorEastAsia" w:hAnsiTheme="minorEastAsia" w:eastAsiaTheme="minorEastAsia" w:cstheme="minorEastAsia"/>
          <w:w w:val="95"/>
          <w:sz w:val="24"/>
          <w:szCs w:val="24"/>
        </w:rPr>
        <w:t>未列</w:t>
      </w:r>
      <w:r>
        <w:rPr>
          <w:rFonts w:hint="eastAsia" w:asciiTheme="minorEastAsia" w:hAnsiTheme="minorEastAsia" w:eastAsiaTheme="minorEastAsia" w:cstheme="minorEastAsia"/>
          <w:w w:val="95"/>
          <w:sz w:val="24"/>
          <w:szCs w:val="24"/>
          <w:lang w:val="en-US" w:eastAsia="zh-CN"/>
        </w:rPr>
        <w:t>入</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pacing w:val="8"/>
          <w:sz w:val="24"/>
          <w:szCs w:val="24"/>
        </w:rPr>
        <w:t>危险化学品环境管理登记办法</w:t>
      </w:r>
    </w:p>
    <w:p>
      <w:pPr>
        <w:pStyle w:val="7"/>
        <w:spacing w:line="360" w:lineRule="auto"/>
        <w:rPr>
          <w:rFonts w:hint="eastAsia" w:asciiTheme="minorEastAsia" w:hAnsiTheme="minorEastAsia" w:eastAsiaTheme="minorEastAsia" w:cstheme="minorEastAsia"/>
          <w:w w:val="95"/>
          <w:sz w:val="24"/>
          <w:szCs w:val="24"/>
        </w:rPr>
      </w:pPr>
      <w:r>
        <w:rPr>
          <w:rFonts w:hint="eastAsia" w:asciiTheme="minorEastAsia" w:hAnsiTheme="minorEastAsia" w:eastAsiaTheme="minorEastAsia" w:cstheme="minorEastAsia"/>
          <w:w w:val="95"/>
          <w:sz w:val="24"/>
          <w:szCs w:val="24"/>
        </w:rPr>
        <w:t>重点环境管理危险化学品目录（2014）</w:t>
      </w:r>
      <w:r>
        <w:rPr>
          <w:rFonts w:hint="eastAsia" w:asciiTheme="minorEastAsia" w:hAnsiTheme="minorEastAsia" w:eastAsiaTheme="minorEastAsia" w:cstheme="minorEastAsia"/>
          <w:spacing w:val="7"/>
          <w:w w:val="95"/>
          <w:sz w:val="24"/>
          <w:szCs w:val="24"/>
        </w:rPr>
        <w:t xml:space="preserve">: </w:t>
      </w:r>
      <w:r>
        <w:rPr>
          <w:rFonts w:hint="eastAsia" w:asciiTheme="minorEastAsia" w:hAnsiTheme="minorEastAsia" w:eastAsiaTheme="minorEastAsia" w:cstheme="minorEastAsia"/>
          <w:w w:val="95"/>
          <w:sz w:val="24"/>
          <w:szCs w:val="24"/>
        </w:rPr>
        <w:t>未列入</w:t>
      </w:r>
    </w:p>
    <w:p>
      <w:pPr>
        <w:pStyle w:val="7"/>
        <w:spacing w:line="360" w:lineRule="auto"/>
        <w:rPr>
          <w:rFonts w:hint="eastAsia" w:asciiTheme="minorEastAsia" w:hAnsiTheme="minorEastAsia" w:eastAsiaTheme="minorEastAsia" w:cstheme="minorEastAsia"/>
          <w:b/>
          <w:spacing w:val="8"/>
          <w:sz w:val="24"/>
          <w:szCs w:val="24"/>
        </w:rPr>
      </w:pPr>
      <w:r>
        <w:rPr>
          <w:rFonts w:hint="eastAsia" w:asciiTheme="minorEastAsia" w:hAnsiTheme="minorEastAsia" w:eastAsiaTheme="minorEastAsia" w:cstheme="minorEastAsia"/>
          <w:b/>
          <w:spacing w:val="8"/>
          <w:sz w:val="24"/>
          <w:szCs w:val="24"/>
        </w:rPr>
        <w:t>麻醉药品和精神药品管理条例</w:t>
      </w:r>
    </w:p>
    <w:p>
      <w:pPr>
        <w:pStyle w:val="7"/>
        <w:spacing w:line="360" w:lineRule="auto"/>
        <w:rPr>
          <w:rFonts w:hint="eastAsia" w:asciiTheme="minorEastAsia" w:hAnsiTheme="minorEastAsia" w:eastAsiaTheme="minorEastAsia" w:cstheme="minorEastAsia"/>
          <w:w w:val="95"/>
          <w:sz w:val="24"/>
          <w:szCs w:val="24"/>
        </w:rPr>
      </w:pPr>
      <w:r>
        <w:rPr>
          <w:rFonts w:hint="eastAsia" w:asciiTheme="minorEastAsia" w:hAnsiTheme="minorEastAsia" w:eastAsiaTheme="minorEastAsia" w:cstheme="minorEastAsia"/>
          <w:w w:val="95"/>
          <w:sz w:val="24"/>
          <w:szCs w:val="24"/>
        </w:rPr>
        <w:t>麻醉药品品种目录（2013）: 未列入精神药品品种目录（2013）: 未列入</w:t>
      </w:r>
    </w:p>
    <w:p>
      <w:pPr>
        <w:pStyle w:val="7"/>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新化学物质环境管理办法</w:t>
      </w:r>
    </w:p>
    <w:p>
      <w:pPr>
        <w:pStyle w:val="7"/>
        <w:spacing w:line="360" w:lineRule="auto"/>
        <w:rPr>
          <w:rFonts w:hint="eastAsia" w:asciiTheme="minorEastAsia" w:hAnsiTheme="minorEastAsia" w:eastAsiaTheme="minorEastAsia" w:cstheme="minorEastAsia"/>
          <w:w w:val="95"/>
          <w:sz w:val="24"/>
          <w:szCs w:val="24"/>
          <w:lang w:val="en-US" w:eastAsia="zh-CN"/>
        </w:rPr>
      </w:pPr>
      <w:r>
        <w:rPr>
          <w:rFonts w:hint="eastAsia" w:asciiTheme="minorEastAsia" w:hAnsiTheme="minorEastAsia" w:eastAsiaTheme="minorEastAsia" w:cstheme="minorEastAsia"/>
          <w:w w:val="95"/>
          <w:sz w:val="24"/>
          <w:szCs w:val="24"/>
        </w:rPr>
        <w:t>中国现有化学物质名录: 未列</w:t>
      </w:r>
      <w:r>
        <w:rPr>
          <w:rFonts w:hint="eastAsia" w:asciiTheme="minorEastAsia" w:hAnsiTheme="minorEastAsia" w:eastAsiaTheme="minorEastAsia" w:cstheme="minorEastAsia"/>
          <w:w w:val="95"/>
          <w:sz w:val="24"/>
          <w:szCs w:val="24"/>
          <w:lang w:val="en-US" w:eastAsia="zh-CN"/>
        </w:rPr>
        <w:t>入</w:t>
      </w:r>
    </w:p>
    <w:p>
      <w:pPr>
        <w:pStyle w:val="7"/>
        <w:spacing w:line="360" w:lineRule="auto"/>
        <w:rPr>
          <w:rFonts w:hint="default" w:asciiTheme="minorEastAsia" w:hAnsiTheme="minorEastAsia" w:eastAsiaTheme="minorEastAsia" w:cstheme="minorEastAsia"/>
          <w:b/>
          <w:bCs/>
          <w:w w:val="95"/>
          <w:sz w:val="24"/>
          <w:szCs w:val="24"/>
          <w:lang w:val="en-US" w:eastAsia="en-US"/>
        </w:rPr>
      </w:pPr>
      <w:r>
        <w:rPr>
          <w:rFonts w:hint="eastAsia" w:asciiTheme="minorEastAsia" w:hAnsiTheme="minorEastAsia" w:eastAsiaTheme="minorEastAsia" w:cstheme="minorEastAsia"/>
          <w:b/>
          <w:bCs/>
          <w:w w:val="95"/>
          <w:sz w:val="24"/>
          <w:szCs w:val="24"/>
          <w:lang w:val="en-US" w:eastAsia="zh-CN"/>
        </w:rPr>
        <w:t>其他规定</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请注意废物处理也应该满足当地法规的要求。</w:t>
      </w:r>
    </w:p>
    <w:p>
      <w:pPr>
        <w:spacing w:before="0"/>
        <w:ind w:right="0"/>
        <w:jc w:val="center"/>
        <w:rPr>
          <w:rFonts w:hint="eastAsia" w:ascii="黑体" w:hAnsi="黑体" w:eastAsia="黑体" w:cs="黑体"/>
          <w:b w:val="0"/>
          <w:bCs w:val="0"/>
          <w:sz w:val="32"/>
          <w:szCs w:val="32"/>
          <w:lang w:val="en-US" w:eastAsia="en-US" w:bidi="en-US"/>
        </w:rPr>
      </w:pPr>
      <w:r>
        <w:rPr>
          <w:rFonts w:hint="eastAsia" w:ascii="黑体" w:hAnsi="黑体" w:eastAsia="黑体" w:cs="黑体"/>
          <w:b w:val="0"/>
          <w:bCs w:val="0"/>
          <w:sz w:val="32"/>
          <w:szCs w:val="32"/>
          <w:lang w:val="en-US" w:eastAsia="en-US" w:bidi="en-US"/>
        </w:rPr>
        <w:t>第 16 部分：其他信息</w:t>
      </w:r>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参考文献</w:t>
      </w:r>
    </w:p>
    <w:p>
      <w:pPr>
        <w:spacing w:before="137"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【1】国际化学品安全规划署：国际化学品安全卡（ICSC），网址：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"http://www.ilo.org/dyn/icsc/showcard.home"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http://www.ilo.org/dyn/icsc/showcard.home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【2】国际癌症研究机构，网址：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"http://www.iarc.fr/"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http://www.iarc.fr/</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【3】OECD 全球化学品信息平台，网址：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"http://www.echemportal.org/echemportal/index?pageID=0&amp;amp;request_locale=en"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http://www.echemportal.org/echemportal/index?pageID=0&amp;request_locale=en</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【4】美国 CAMEO 化学物质数据库，网址：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"http://cameochemicals.noaa.gov/search/simple"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http://cameochemicals.noaa.gov/search/simple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【5】美国医学图书馆:化学品标识数据库，网址：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"http://chem.sis.nlm.nih.gov/chemidplus/chemidlite.jsp"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http://chem.sis.nlm.nih.gov/chemidplus/chemidlite.jsp</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70"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【6】美国环境保护署：综合危险性信息系统，网址：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"http://cfpub.epa.gov/iris/"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http://cfpub.epa.gov/iris/</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【7】美国交通部：应急响应指南，网址：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"http://www.phmsa.dot.gov/hazmat/library/erg"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http://www.phmsa.dot.gov/hazmat/library/erg</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【8】德国GESTIS-有害物质数据库，网址：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"http://gestis-en.itrust.de/"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http://gestis-en.itrust.de/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pStyle w:val="5"/>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r>
        <w:rPr>
          <w:rFonts w:hint="eastAsia" w:asciiTheme="minorAscii" w:hAnsiTheme="minorEastAsia" w:eastAsiaTheme="minorEastAsia" w:cstheme="minorEastAsia"/>
          <w:sz w:val="21"/>
          <w:szCs w:val="21"/>
          <w:lang w:val="zh-CN" w:eastAsia="zh-CN" w:bidi="zh-CN"/>
        </w:rPr>
        <w:t>Sigma-Aldrich</w:t>
      </w:r>
      <w:r>
        <w:rPr>
          <w:rFonts w:hint="eastAsia" w:asciiTheme="minorEastAsia" w:hAnsiTheme="minorEastAsia" w:eastAsiaTheme="minorEastAsia" w:cstheme="minorEastAsia"/>
          <w:sz w:val="21"/>
          <w:szCs w:val="21"/>
        </w:rPr>
        <w:t>，网址：</w:t>
      </w:r>
      <w:r>
        <w:rPr>
          <w:rFonts w:hint="eastAsia" w:asciiTheme="minorAscii" w:hAnsiTheme="minorEastAsia" w:eastAsiaTheme="minorEastAsia" w:cstheme="minorEastAsia"/>
          <w:sz w:val="21"/>
          <w:szCs w:val="21"/>
          <w:lang w:val="zh-CN" w:eastAsia="zh-CN" w:bidi="zh-CN"/>
        </w:rPr>
        <w:t>https://</w:t>
      </w:r>
      <w:r>
        <w:rPr>
          <w:rFonts w:hint="eastAsia" w:asciiTheme="minorAscii" w:hAnsiTheme="minorEastAsia" w:eastAsiaTheme="minorEastAsia" w:cstheme="minorEastAsia"/>
          <w:sz w:val="21"/>
          <w:szCs w:val="21"/>
          <w:lang w:val="zh-CN" w:eastAsia="zh-CN" w:bidi="zh-CN"/>
        </w:rPr>
        <w:fldChar w:fldCharType="begin"/>
      </w:r>
      <w:r>
        <w:rPr>
          <w:rFonts w:hint="eastAsia" w:asciiTheme="minorAscii" w:hAnsiTheme="minorEastAsia" w:eastAsiaTheme="minorEastAsia" w:cstheme="minorEastAsia"/>
          <w:sz w:val="21"/>
          <w:szCs w:val="21"/>
          <w:lang w:val="zh-CN" w:eastAsia="zh-CN" w:bidi="zh-CN"/>
        </w:rPr>
        <w:instrText xml:space="preserve"> HYPERLINK "http://www.sigmaaldrich.com/" \h </w:instrText>
      </w:r>
      <w:r>
        <w:rPr>
          <w:rFonts w:hint="eastAsia" w:asciiTheme="minorAscii" w:hAnsiTheme="minorEastAsia" w:eastAsiaTheme="minorEastAsia" w:cstheme="minorEastAsia"/>
          <w:sz w:val="21"/>
          <w:szCs w:val="21"/>
          <w:lang w:val="zh-CN" w:eastAsia="zh-CN" w:bidi="zh-CN"/>
        </w:rPr>
        <w:fldChar w:fldCharType="separate"/>
      </w:r>
      <w:r>
        <w:rPr>
          <w:rFonts w:hint="eastAsia" w:asciiTheme="minorAscii" w:hAnsiTheme="minorEastAsia" w:eastAsiaTheme="minorEastAsia" w:cstheme="minorEastAsia"/>
          <w:sz w:val="21"/>
          <w:szCs w:val="21"/>
          <w:lang w:val="zh-CN" w:eastAsia="zh-CN" w:bidi="zh-CN"/>
        </w:rPr>
        <w:t>www.sigmaaldrich.com/</w:t>
      </w:r>
      <w:r>
        <w:rPr>
          <w:rFonts w:hint="eastAsia" w:asciiTheme="minorAscii" w:hAnsiTheme="minorEastAsia" w:eastAsiaTheme="minorEastAsia" w:cstheme="minorEastAsia"/>
          <w:sz w:val="21"/>
          <w:szCs w:val="21"/>
          <w:lang w:val="zh-CN" w:eastAsia="zh-CN" w:bidi="zh-CN"/>
        </w:rPr>
        <w:fldChar w:fldCharType="end"/>
      </w:r>
      <w:r>
        <w:rPr>
          <w:rFonts w:hint="eastAsia" w:asciiTheme="minorAscii" w:hAnsiTheme="minorEastAsia" w:eastAsiaTheme="minorEastAsia" w:cstheme="minorEastAsia"/>
          <w:sz w:val="21"/>
          <w:szCs w:val="21"/>
          <w:lang w:val="zh-CN" w:eastAsia="zh-CN" w:bidi="zh-CN"/>
        </w:rPr>
        <w:t>。</w:t>
      </w:r>
    </w:p>
    <w:p>
      <w:pPr>
        <w:spacing w:before="69" w:line="360" w:lineRule="auto"/>
        <w:ind w:left="114" w:right="0" w:firstLine="0"/>
        <w:jc w:val="left"/>
        <w:rPr>
          <w:rFonts w:hint="eastAsia" w:asciiTheme="minorAscii"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rPr>
        <w:t>【10】</w:t>
      </w:r>
      <w:r>
        <w:rPr>
          <w:rFonts w:hint="eastAsia" w:asciiTheme="minorAscii" w:hAnsiTheme="minorEastAsia" w:eastAsiaTheme="minorEastAsia" w:cstheme="minorEastAsia"/>
          <w:sz w:val="21"/>
          <w:szCs w:val="21"/>
          <w:lang w:val="zh-CN" w:eastAsia="zh-CN" w:bidi="zh-CN"/>
        </w:rPr>
        <w:t>Thermo Fisher</w:t>
      </w:r>
      <w:r>
        <w:rPr>
          <w:rFonts w:hint="eastAsia" w:asciiTheme="minorEastAsia" w:hAnsiTheme="minorEastAsia" w:eastAsiaTheme="minorEastAsia" w:cstheme="minorEastAsia"/>
          <w:sz w:val="21"/>
          <w:szCs w:val="21"/>
        </w:rPr>
        <w:t>，网址：</w:t>
      </w:r>
      <w:r>
        <w:rPr>
          <w:rFonts w:hint="eastAsia" w:asciiTheme="minorAscii" w:hAnsiTheme="minorEastAsia" w:eastAsiaTheme="minorEastAsia" w:cstheme="minorEastAsia"/>
          <w:sz w:val="21"/>
          <w:szCs w:val="21"/>
          <w:lang w:val="zh-CN" w:eastAsia="zh-CN" w:bidi="zh-CN"/>
        </w:rPr>
        <w:t>https://fscimage.fishersci.com/。</w:t>
      </w:r>
    </w:p>
    <w:p>
      <w:pPr>
        <w:spacing w:before="136" w:line="360" w:lineRule="auto"/>
        <w:ind w:left="109" w:right="0" w:firstLine="0"/>
        <w:jc w:val="left"/>
        <w:rPr>
          <w:rFonts w:hint="eastAsia" w:asciiTheme="minorEastAsia" w:hAnsiTheme="minorEastAsia" w:eastAsiaTheme="minorEastAsia" w:cstheme="minorEastAsia"/>
          <w:sz w:val="24"/>
          <w:szCs w:val="24"/>
          <w:lang w:val="en-US" w:eastAsia="zh-CN"/>
        </w:rPr>
        <w:sectPr>
          <w:type w:val="continuous"/>
          <w:pgSz w:w="11900" w:h="16840"/>
          <w:pgMar w:top="1440" w:right="1800" w:bottom="1440" w:left="1800" w:header="720" w:footer="720" w:gutter="0"/>
        </w:sectPr>
      </w:pPr>
      <w:r>
        <w:rPr>
          <w:rFonts w:hint="eastAsia" w:asciiTheme="minorEastAsia" w:hAnsiTheme="minorEastAsia" w:eastAsiaTheme="minorEastAsia" w:cstheme="minorEastAsia"/>
          <w:b/>
          <w:sz w:val="24"/>
          <w:szCs w:val="24"/>
        </w:rPr>
        <w:t>其他信</w:t>
      </w:r>
      <w:r>
        <w:rPr>
          <w:rFonts w:hint="eastAsia" w:asciiTheme="minorEastAsia" w:hAnsiTheme="minorEastAsia" w:eastAsiaTheme="minorEastAsia" w:cstheme="minorEastAsia"/>
          <w:b/>
          <w:sz w:val="24"/>
          <w:szCs w:val="24"/>
          <w:lang w:val="en-US" w:eastAsia="zh-CN"/>
        </w:rPr>
        <w:t>息</w:t>
      </w:r>
    </w:p>
    <w:p>
      <w:pPr>
        <w:pStyle w:val="7"/>
        <w:spacing w:line="201" w:lineRule="auto"/>
        <w:ind w:right="70"/>
      </w:pPr>
    </w:p>
    <w:sectPr>
      <w:pgSz w:w="11900" w:h="16840"/>
      <w:pgMar w:top="1440" w:right="1800" w:bottom="1440" w:left="1800" w:header="0" w:footer="60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libri">
    <w:panose1 w:val="020F0502020204030204"/>
    <w:charset w:val="86"/>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auto"/>
    <w:pitch w:val="default"/>
    <w:sig w:usb0="E4002EFF" w:usb1="C000247B" w:usb2="00000009" w:usb3="00000000" w:csb0="200001FF" w:csb1="00000000"/>
  </w:font>
  <w:font w:name="Microsoft JhengHei Light">
    <w:panose1 w:val="020B0304030504040204"/>
    <w:charset w:val="88"/>
    <w:family w:val="swiss"/>
    <w:pitch w:val="default"/>
    <w:sig w:usb0="800002A7" w:usb1="28CF4400" w:usb2="00000016" w:usb3="00000000" w:csb0="00100009" w:csb1="00000000"/>
  </w:font>
  <w:font w:name="Calibri">
    <w:panose1 w:val="020F0502020204030204"/>
    <w:charset w:val="00"/>
    <w:family w:val="auto"/>
    <w:pitch w:val="default"/>
    <w:sig w:usb0="E4002EFF" w:usb1="C000247B" w:usb2="00000009" w:usb3="00000000" w:csb0="200001FF" w:csb1="00000000"/>
  </w:font>
  <w:font w:name="Microsoft Sans Serif">
    <w:panose1 w:val="020B0604020202020204"/>
    <w:charset w:val="00"/>
    <w:family w:val="swiss"/>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5"/>
      </w:rPr>
    </w:pPr>
    <w:r>
      <mc:AlternateContent>
        <mc:Choice Requires="wps">
          <w:drawing>
            <wp:anchor distT="0" distB="0" distL="114300" distR="114300" simplePos="0" relativeHeight="251131904" behindDoc="1" locked="0" layoutInCell="1" allowOverlap="1">
              <wp:simplePos x="0" y="0"/>
              <wp:positionH relativeFrom="page">
                <wp:posOffset>3463925</wp:posOffset>
              </wp:positionH>
              <wp:positionV relativeFrom="page">
                <wp:posOffset>10133965</wp:posOffset>
              </wp:positionV>
              <wp:extent cx="629920" cy="125730"/>
              <wp:effectExtent l="0" t="0" r="0" b="0"/>
              <wp:wrapNone/>
              <wp:docPr id="14" name="文本框 1025"/>
              <wp:cNvGraphicFramePr/>
              <a:graphic xmlns:a="http://schemas.openxmlformats.org/drawingml/2006/main">
                <a:graphicData uri="http://schemas.microsoft.com/office/word/2010/wordprocessingShape">
                  <wps:wsp>
                    <wps:cNvSpPr txBox="1"/>
                    <wps:spPr>
                      <a:xfrm>
                        <a:off x="0" y="0"/>
                        <a:ext cx="629920" cy="125730"/>
                      </a:xfrm>
                      <a:prstGeom prst="rect">
                        <a:avLst/>
                      </a:prstGeom>
                      <a:noFill/>
                      <a:ln>
                        <a:noFill/>
                      </a:ln>
                    </wps:spPr>
                    <wps:txbx>
                      <w:txbxContent>
                        <w:p>
                          <w:pPr>
                            <w:spacing w:before="1"/>
                            <w:ind w:right="0"/>
                            <w:jc w:val="left"/>
                            <w:rPr>
                              <w:rFonts w:ascii="Arial"/>
                              <w:sz w:val="15"/>
                            </w:rPr>
                          </w:pPr>
                        </w:p>
                      </w:txbxContent>
                    </wps:txbx>
                    <wps:bodyPr lIns="0" tIns="0" rIns="0" bIns="0" upright="1"/>
                  </wps:wsp>
                </a:graphicData>
              </a:graphic>
            </wp:anchor>
          </w:drawing>
        </mc:Choice>
        <mc:Fallback>
          <w:pict>
            <v:shape id="文本框 1025" o:spid="_x0000_s1026" o:spt="202" type="#_x0000_t202" style="position:absolute;left:0pt;margin-left:272.75pt;margin-top:797.95pt;height:9.9pt;width:49.6pt;mso-position-horizontal-relative:page;mso-position-vertical-relative:page;z-index:-252184576;mso-width-relative:page;mso-height-relative:page;" filled="f" stroked="f" coordsize="21600,21600" o:gfxdata="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w9W2HbAAAADQEAAA8A&#10;AAAAAAAAAQAgAAAAIgAAAGRycy9kb3ducmV2LnhtbFBLAQIUABQAAAAIAIdO4kAyXShyogEAACcD&#10;AAAOAAAAAAAAAAEAIAAAACoBAABkcnMvZTJvRG9jLnhtbFBLBQYAAAAABgAGAFkBAAA+BQAAAAA=&#10;">
              <v:fill on="f" focussize="0,0"/>
              <v:stroke on="f"/>
              <v:imagedata o:title=""/>
              <o:lock v:ext="edit" aspectratio="f"/>
              <v:textbox inset="0mm,0mm,0mm,0mm">
                <w:txbxContent>
                  <w:p>
                    <w:pPr>
                      <w:spacing w:before="1"/>
                      <w:ind w:right="0"/>
                      <w:jc w:val="left"/>
                      <w:rPr>
                        <w:rFonts w:ascii="Arial"/>
                        <w:sz w:val="15"/>
                      </w:rPr>
                    </w:pPr>
                  </w:p>
                </w:txbxContent>
              </v:textbox>
            </v:shape>
          </w:pict>
        </mc:Fallback>
      </mc:AlternateContent>
    </w:r>
    <w:r>
      <mc:AlternateContent>
        <mc:Choice Requires="wps">
          <w:drawing>
            <wp:anchor distT="0" distB="0" distL="114300" distR="114300" simplePos="0" relativeHeight="251132928" behindDoc="1" locked="0" layoutInCell="1" allowOverlap="1">
              <wp:simplePos x="0" y="0"/>
              <wp:positionH relativeFrom="page">
                <wp:posOffset>7115810</wp:posOffset>
              </wp:positionH>
              <wp:positionV relativeFrom="page">
                <wp:posOffset>10133965</wp:posOffset>
              </wp:positionV>
              <wp:extent cx="100965" cy="125730"/>
              <wp:effectExtent l="0" t="0" r="0" b="0"/>
              <wp:wrapNone/>
              <wp:docPr id="15" name="文本框 1026"/>
              <wp:cNvGraphicFramePr/>
              <a:graphic xmlns:a="http://schemas.openxmlformats.org/drawingml/2006/main">
                <a:graphicData uri="http://schemas.microsoft.com/office/word/2010/wordprocessingShape">
                  <wps:wsp>
                    <wps:cNvSpPr txBox="1"/>
                    <wps:spPr>
                      <a:xfrm>
                        <a:off x="0" y="0"/>
                        <a:ext cx="100965" cy="125730"/>
                      </a:xfrm>
                      <a:prstGeom prst="rect">
                        <a:avLst/>
                      </a:prstGeom>
                      <a:noFill/>
                      <a:ln>
                        <a:noFill/>
                      </a:ln>
                    </wps:spPr>
                    <wps:txbx>
                      <w:txbxContent>
                        <w:p>
                          <w:pPr>
                            <w:spacing w:before="1"/>
                            <w:ind w:left="40" w:right="0" w:firstLine="0"/>
                            <w:jc w:val="left"/>
                            <w:rPr>
                              <w:rFonts w:ascii="Arial"/>
                              <w:sz w:val="15"/>
                            </w:rPr>
                          </w:pPr>
                          <w:r>
                            <w:fldChar w:fldCharType="begin"/>
                          </w:r>
                          <w:r>
                            <w:rPr>
                              <w:rFonts w:ascii="Arial"/>
                              <w:w w:val="93"/>
                              <w:sz w:val="15"/>
                            </w:rPr>
                            <w:instrText xml:space="preserve"> PAGE </w:instrText>
                          </w:r>
                          <w:r>
                            <w:fldChar w:fldCharType="separate"/>
                          </w:r>
                          <w:r>
                            <w:t>4</w:t>
                          </w:r>
                          <w:r>
                            <w:fldChar w:fldCharType="end"/>
                          </w:r>
                        </w:p>
                      </w:txbxContent>
                    </wps:txbx>
                    <wps:bodyPr lIns="0" tIns="0" rIns="0" bIns="0" upright="1"/>
                  </wps:wsp>
                </a:graphicData>
              </a:graphic>
            </wp:anchor>
          </w:drawing>
        </mc:Choice>
        <mc:Fallback>
          <w:pict>
            <v:shape id="文本框 1026" o:spid="_x0000_s1026" o:spt="202" type="#_x0000_t202" style="position:absolute;left:0pt;margin-left:560.3pt;margin-top:797.95pt;height:9.9pt;width:7.95pt;mso-position-horizontal-relative:page;mso-position-vertical-relative:page;z-index:-252183552;mso-width-relative:page;mso-height-relative:page;" filled="f" stroked="f" coordsize="21600,21600" o:gfxdata="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dGmemdsAAAAPAQAADwAA&#10;AAAAAAABACAAAAAiAAAAZHJzL2Rvd25yZXYueG1sUEsBAhQAFAAAAAgAh07iQLrxIkqhAQAAJwMA&#10;AA4AAAAAAAAAAQAgAAAAKgEAAGRycy9lMm9Eb2MueG1sUEsFBgAAAAAGAAYAWQEAAD0FAAAAAA==&#10;">
              <v:fill on="f" focussize="0,0"/>
              <v:stroke on="f"/>
              <v:imagedata o:title=""/>
              <o:lock v:ext="edit" aspectratio="f"/>
              <v:textbox inset="0mm,0mm,0mm,0mm">
                <w:txbxContent>
                  <w:p>
                    <w:pPr>
                      <w:spacing w:before="1"/>
                      <w:ind w:left="40" w:right="0" w:firstLine="0"/>
                      <w:jc w:val="left"/>
                      <w:rPr>
                        <w:rFonts w:ascii="Arial"/>
                        <w:sz w:val="15"/>
                      </w:rPr>
                    </w:pPr>
                    <w:r>
                      <w:fldChar w:fldCharType="begin"/>
                    </w:r>
                    <w:r>
                      <w:rPr>
                        <w:rFonts w:ascii="Arial"/>
                        <w:w w:val="93"/>
                        <w:sz w:val="15"/>
                      </w:rPr>
                      <w:instrText xml:space="preserve"> PAGE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center"/>
      <w:rPr>
        <w:rFonts w:hint="eastAsia"/>
        <w:b/>
        <w:sz w:val="36"/>
        <w:szCs w:val="36"/>
        <w:lang w:val="en-US" w:eastAsia="zh-CN"/>
      </w:rPr>
    </w:pPr>
    <w:r>
      <w:rPr>
        <w:rFonts w:hint="eastAsia"/>
        <w:b/>
        <w:sz w:val="36"/>
        <w:szCs w:val="36"/>
      </w:rPr>
      <w:drawing>
        <wp:anchor distT="0" distB="0" distL="114300" distR="114300" simplePos="0" relativeHeight="251659264" behindDoc="0" locked="0" layoutInCell="1" allowOverlap="1">
          <wp:simplePos x="0" y="0"/>
          <wp:positionH relativeFrom="margin">
            <wp:posOffset>86360</wp:posOffset>
          </wp:positionH>
          <wp:positionV relativeFrom="margin">
            <wp:posOffset>-805815</wp:posOffset>
          </wp:positionV>
          <wp:extent cx="933450" cy="657225"/>
          <wp:effectExtent l="0" t="0" r="0" b="9525"/>
          <wp:wrapSquare wrapText="bothSides"/>
          <wp:docPr id="2"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lang w:val="en-US" w:eastAsia="zh-CN"/>
      </w:rPr>
      <w:t xml:space="preserve">  </w:t>
    </w:r>
  </w:p>
  <w:p>
    <w:pPr>
      <w:pStyle w:val="8"/>
      <w:pBdr>
        <w:bottom w:val="none" w:color="auto" w:sz="0" w:space="0"/>
      </w:pBdr>
      <w:jc w:val="center"/>
      <w:rPr>
        <w:b/>
        <w:sz w:val="36"/>
        <w:szCs w:val="36"/>
      </w:rPr>
    </w:pPr>
    <w:r>
      <w:rPr>
        <w:rFonts w:hint="eastAsia"/>
        <w:b/>
        <w:sz w:val="36"/>
        <w:szCs w:val="36"/>
      </w:rPr>
      <w:t>武汉能迈科实业有限公司</w:t>
    </w:r>
  </w:p>
  <w:p>
    <w:pPr>
      <w:pStyle w:val="8"/>
      <w:pBdr>
        <w:bottom w:val="none" w:color="auto" w:sz="0" w:space="0"/>
      </w:pBdr>
      <w:ind w:firstLine="723"/>
      <w:jc w:val="center"/>
      <w:rPr>
        <w:rFonts w:asciiTheme="minorAscii"/>
        <w:b/>
        <w:sz w:val="36"/>
        <w:szCs w:val="36"/>
      </w:rPr>
    </w:pPr>
    <w:bookmarkStart w:id="0" w:name="OLE_LINK2"/>
    <w:bookmarkStart w:id="1" w:name="OLE_LINK1"/>
    <w:r>
      <w:rPr>
        <w:rFonts w:hint="eastAsia" w:asciiTheme="minorAscii"/>
        <w:b/>
        <w:sz w:val="36"/>
        <w:szCs w:val="36"/>
      </w:rPr>
      <w:t xml:space="preserve">Wuhan </w:t>
    </w:r>
    <w:r>
      <w:rPr>
        <w:rFonts w:asciiTheme="minorAscii"/>
        <w:b/>
        <w:sz w:val="36"/>
        <w:szCs w:val="36"/>
      </w:rPr>
      <w:t xml:space="preserve">Landmark </w:t>
    </w:r>
    <w:r>
      <w:rPr>
        <w:rFonts w:hint="eastAsia" w:asciiTheme="minorAscii"/>
        <w:b/>
        <w:sz w:val="36"/>
        <w:szCs w:val="36"/>
      </w:rPr>
      <w:t>Industrial</w:t>
    </w:r>
    <w:r>
      <w:rPr>
        <w:rFonts w:asciiTheme="minorAscii"/>
        <w:b/>
        <w:sz w:val="36"/>
        <w:szCs w:val="36"/>
      </w:rPr>
      <w:t xml:space="preserve"> Co., L</w:t>
    </w:r>
    <w:bookmarkEnd w:id="0"/>
    <w:bookmarkEnd w:id="1"/>
    <w:r>
      <w:rPr>
        <w:rFonts w:hint="eastAsia" w:asciiTheme="minorAscii"/>
        <w:b/>
        <w:sz w:val="36"/>
        <w:szCs w:val="36"/>
      </w:rPr>
      <w:t>td.</w:t>
    </w:r>
  </w:p>
  <w:p>
    <w:pPr>
      <w:pStyle w:val="8"/>
      <w:pBdr>
        <w:bottom w:val="single" w:color="auto"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B36070"/>
    <w:rsid w:val="175E4318"/>
    <w:rsid w:val="26E71D19"/>
    <w:rsid w:val="31496F0C"/>
    <w:rsid w:val="61766506"/>
    <w:rsid w:val="63123B1E"/>
    <w:rsid w:val="6A5F40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14"/>
      <w:outlineLvl w:val="1"/>
    </w:pPr>
    <w:rPr>
      <w:rFonts w:ascii="宋体" w:hAnsi="宋体" w:eastAsia="宋体" w:cs="宋体"/>
      <w:sz w:val="21"/>
      <w:szCs w:val="21"/>
      <w:lang w:val="zh-CN" w:eastAsia="zh-CN" w:bidi="zh-CN"/>
    </w:rPr>
  </w:style>
  <w:style w:type="paragraph" w:styleId="3">
    <w:name w:val="heading 2"/>
    <w:basedOn w:val="1"/>
    <w:next w:val="1"/>
    <w:qFormat/>
    <w:uiPriority w:val="1"/>
    <w:pPr>
      <w:spacing w:before="136"/>
      <w:ind w:left="109"/>
      <w:outlineLvl w:val="2"/>
    </w:pPr>
    <w:rPr>
      <w:rFonts w:ascii="Arial" w:hAnsi="Arial" w:eastAsia="Arial" w:cs="Arial"/>
      <w:b/>
      <w:bCs/>
      <w:sz w:val="19"/>
      <w:szCs w:val="19"/>
      <w:lang w:val="zh-CN" w:eastAsia="zh-CN" w:bidi="zh-CN"/>
    </w:rPr>
  </w:style>
  <w:style w:type="paragraph" w:styleId="4">
    <w:name w:val="heading 3"/>
    <w:basedOn w:val="1"/>
    <w:next w:val="1"/>
    <w:qFormat/>
    <w:uiPriority w:val="1"/>
    <w:pPr>
      <w:spacing w:before="66"/>
      <w:ind w:left="109"/>
      <w:outlineLvl w:val="3"/>
    </w:pPr>
    <w:rPr>
      <w:rFonts w:ascii="Microsoft JhengHei" w:hAnsi="Microsoft JhengHei" w:eastAsia="Microsoft JhengHei" w:cs="Microsoft JhengHei"/>
      <w:b/>
      <w:bCs/>
      <w:sz w:val="16"/>
      <w:szCs w:val="16"/>
      <w:lang w:val="zh-CN" w:eastAsia="zh-CN" w:bidi="zh-CN"/>
    </w:rPr>
  </w:style>
  <w:style w:type="paragraph" w:styleId="5">
    <w:name w:val="heading 4"/>
    <w:basedOn w:val="1"/>
    <w:next w:val="1"/>
    <w:qFormat/>
    <w:uiPriority w:val="1"/>
    <w:pPr>
      <w:spacing w:before="69"/>
      <w:ind w:left="114"/>
      <w:outlineLvl w:val="4"/>
    </w:pPr>
    <w:rPr>
      <w:rFonts w:ascii="Arial" w:hAnsi="Arial" w:eastAsia="Arial" w:cs="Arial"/>
      <w:sz w:val="16"/>
      <w:szCs w:val="16"/>
      <w:lang w:val="zh-CN" w:eastAsia="zh-CN" w:bidi="zh-CN"/>
    </w:rPr>
  </w:style>
  <w:style w:type="paragraph" w:styleId="6">
    <w:name w:val="heading 5"/>
    <w:basedOn w:val="1"/>
    <w:next w:val="1"/>
    <w:qFormat/>
    <w:uiPriority w:val="1"/>
    <w:pPr>
      <w:ind w:left="109"/>
      <w:outlineLvl w:val="5"/>
    </w:pPr>
    <w:rPr>
      <w:rFonts w:ascii="Microsoft JhengHei" w:hAnsi="Microsoft JhengHei" w:eastAsia="Microsoft JhengHei" w:cs="Microsoft JhengHei"/>
      <w:b/>
      <w:bCs/>
      <w:sz w:val="14"/>
      <w:szCs w:val="14"/>
      <w:lang w:val="zh-CN" w:eastAsia="zh-CN" w:bidi="zh-CN"/>
    </w:rPr>
  </w:style>
  <w:style w:type="character" w:default="1" w:styleId="10">
    <w:name w:val="Default Paragraph Font"/>
    <w:semiHidden/>
    <w:unhideWhenUsed/>
    <w:qFormat/>
    <w:uiPriority w:val="1"/>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7">
    <w:name w:val="Body Text"/>
    <w:basedOn w:val="1"/>
    <w:qFormat/>
    <w:uiPriority w:val="1"/>
    <w:rPr>
      <w:rFonts w:ascii="宋体" w:hAnsi="宋体" w:eastAsia="宋体" w:cs="宋体"/>
      <w:sz w:val="14"/>
      <w:szCs w:val="14"/>
      <w:lang w:val="zh-CN" w:eastAsia="zh-CN" w:bidi="zh-CN"/>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rPr>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2022-11-21T04:38:00Z</dcterms:created>
  <dc:creator>Administrator</dc:creator>
  <cp:lastModifiedBy>食秘古男吃</cp:lastModifiedBy>
  <dcterms:modified xsi:type="dcterms:W3CDTF">2022-11-21T08:49:57Z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LastSaved">
    <vt:filetime>2022-11-18T00:00:00Z</vt:filetime>
  </property>
  <property fmtid="{D5CDD505-2E9C-101B-9397-08002B2CF9AE}" pid="4" name="KSOProductBuildVer">
    <vt:lpwstr>2052-11.1.0.9021</vt:lpwstr>
  </property>
</Properties>
</file>