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val="en-US" w:eastAsia="zh-CN"/>
        </w:rPr>
        <w:t>对氯肉桂酸</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 xml:space="preserve">月02日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701248"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3"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701248;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TaHXAAAA&#10;CQEAAA8AAAAAAAAAAQAgAAAAIgAAAGRycy9kb3ducmV2LnhtbFBLAQIUABQAAAAIAIdO4kCJoM9O&#10;5QEAAKQDAAAOAAAAAAAAAAEAIAAAACYBAABkcnMvZTJvRG9jLnhtbFBLBQYAAAAABgAGAFkBAAB9&#10;BQ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rPr>
          <w:rFonts w:hint="eastAsia" w:asciiTheme="minorEastAsia" w:hAnsiTheme="minorEastAsia" w:eastAsiaTheme="minorEastAsia" w:cstheme="minorEastAsia"/>
          <w:sz w:val="24"/>
          <w:szCs w:val="24"/>
          <w:lang w:val="en-US" w:eastAsia="zh-CN"/>
        </w:rPr>
        <w:t>对氯肉桂酸</w:t>
      </w:r>
    </w:p>
    <w:p>
      <w:pPr>
        <w:spacing w:line="360" w:lineRule="auto"/>
        <w:rPr>
          <w:rFonts w:hint="eastAsia" w:asciiTheme="minorAscii" w:hAnsiTheme="minorEastAsia" w:eastAsiaTheme="minorEastAsia" w:cstheme="minorEastAsia"/>
          <w:sz w:val="24"/>
          <w:szCs w:val="24"/>
        </w:rPr>
      </w:pPr>
      <w:r>
        <w:rPr>
          <w:rFonts w:ascii="Times New Roman" w:hAnsi="Times New Roman" w:eastAsia="黑体" w:cs="Times New Roman"/>
          <w:sz w:val="24"/>
          <w:szCs w:val="24"/>
        </w:rPr>
        <w:t>化学品英文名：</w:t>
      </w:r>
      <w:r>
        <w:rPr>
          <w:rFonts w:hint="eastAsia" w:hAnsi="Arial" w:cs="Arial" w:asciiTheme="minorAscii"/>
          <w:i w:val="0"/>
          <w:caps w:val="0"/>
          <w:color w:val="333333"/>
          <w:spacing w:val="0"/>
          <w:sz w:val="24"/>
          <w:szCs w:val="24"/>
          <w:shd w:val="clear" w:fill="FFFFFF"/>
          <w:lang w:val="en-US" w:eastAsia="zh-CN"/>
        </w:rPr>
        <w:t>4</w:t>
      </w:r>
      <w:r>
        <w:rPr>
          <w:rFonts w:hAnsi="Arial" w:eastAsia="宋体" w:cs="Arial" w:asciiTheme="minorAscii"/>
          <w:i w:val="0"/>
          <w:caps w:val="0"/>
          <w:color w:val="333333"/>
          <w:spacing w:val="0"/>
          <w:sz w:val="24"/>
          <w:szCs w:val="24"/>
          <w:shd w:val="clear" w:fill="FFFFFF"/>
        </w:rPr>
        <w:t>-Chlorocinnamic acid</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pStyle w:val="7"/>
        <w:spacing w:before="5"/>
        <w:rPr>
          <w:rFonts w:ascii="Arial"/>
          <w:sz w:val="19"/>
        </w:rPr>
      </w:pPr>
    </w:p>
    <w:p>
      <w:pPr>
        <w:spacing w:before="60"/>
        <w:ind w:left="114" w:right="0" w:firstLine="0"/>
        <w:jc w:val="center"/>
        <w:rPr>
          <w:sz w:val="21"/>
        </w:rPr>
      </w:pPr>
      <w:r>
        <w:rPr>
          <w:rFonts w:ascii="Times New Roman" w:hAnsi="Times New Roman" w:eastAsia="黑体" w:cs="Times New Roman"/>
          <w:sz w:val="32"/>
          <w:szCs w:val="32"/>
        </w:rPr>
        <w:t>第 2 部分：危险性概述</w:t>
      </w:r>
    </w:p>
    <w:p>
      <w:pPr>
        <w:spacing w:before="66" w:line="360" w:lineRule="auto"/>
        <w:ind w:right="0"/>
        <w:jc w:val="left"/>
        <w:rPr>
          <w:rFonts w:hint="eastAsia" w:ascii="Microsoft JhengHei" w:eastAsia="Microsoft JhengHei"/>
          <w:b/>
          <w:sz w:val="24"/>
          <w:szCs w:val="24"/>
        </w:rPr>
      </w:pPr>
      <w:r>
        <w:rPr>
          <w:rFonts w:ascii="Arial" w:eastAsia="Arial"/>
          <w:b/>
          <w:sz w:val="24"/>
          <w:szCs w:val="24"/>
        </w:rPr>
        <w:t>GHS</w:t>
      </w:r>
      <w:r>
        <w:rPr>
          <w:rFonts w:hint="eastAsia" w:ascii="Microsoft JhengHei" w:eastAsia="Microsoft JhengHei"/>
          <w:b/>
          <w:sz w:val="24"/>
          <w:szCs w:val="24"/>
        </w:rPr>
        <w:t>危险性类别</w:t>
      </w:r>
    </w:p>
    <w:p>
      <w:pPr>
        <w:spacing w:before="66" w:line="360" w:lineRule="auto"/>
        <w:ind w:right="0"/>
        <w:jc w:val="left"/>
        <w:rPr>
          <w:sz w:val="24"/>
          <w:szCs w:val="24"/>
        </w:rPr>
      </w:pPr>
      <w:r>
        <w:rPr>
          <w:sz w:val="24"/>
          <w:szCs w:val="24"/>
        </w:rPr>
        <w:t>非危险物质或混合物。</w:t>
      </w:r>
    </w:p>
    <w:p>
      <w:pPr>
        <w:spacing w:before="0" w:line="360" w:lineRule="auto"/>
        <w:ind w:right="0"/>
        <w:jc w:val="left"/>
        <w:rPr>
          <w:rFonts w:hint="eastAsia" w:ascii="Microsoft JhengHei" w:eastAsia="Microsoft JhengHei"/>
          <w:b/>
          <w:sz w:val="24"/>
          <w:szCs w:val="24"/>
        </w:rPr>
      </w:pPr>
      <w:r>
        <w:rPr>
          <w:rFonts w:ascii="Arial" w:eastAsia="Arial"/>
          <w:b/>
          <w:sz w:val="24"/>
          <w:szCs w:val="24"/>
        </w:rPr>
        <w:t xml:space="preserve">GHS </w:t>
      </w:r>
      <w:r>
        <w:rPr>
          <w:rFonts w:hint="eastAsia" w:ascii="Microsoft JhengHei" w:eastAsia="Microsoft JhengHei"/>
          <w:b/>
          <w:sz w:val="24"/>
          <w:szCs w:val="24"/>
        </w:rPr>
        <w:t>标签要素，包括防范说明</w:t>
      </w:r>
    </w:p>
    <w:p>
      <w:pPr>
        <w:pStyle w:val="7"/>
        <w:spacing w:before="147" w:line="360" w:lineRule="auto"/>
        <w:rPr>
          <w:sz w:val="24"/>
          <w:szCs w:val="24"/>
        </w:rPr>
      </w:pPr>
      <w:r>
        <w:rPr>
          <w:sz w:val="24"/>
          <w:szCs w:val="24"/>
        </w:rPr>
        <w:drawing>
          <wp:anchor distT="0" distB="0" distL="0" distR="0" simplePos="0" relativeHeight="251662336" behindDoc="0" locked="0" layoutInCell="1" allowOverlap="1">
            <wp:simplePos x="0" y="0"/>
            <wp:positionH relativeFrom="page">
              <wp:posOffset>2260600</wp:posOffset>
            </wp:positionH>
            <wp:positionV relativeFrom="paragraph">
              <wp:posOffset>67945</wp:posOffset>
            </wp:positionV>
            <wp:extent cx="315595" cy="315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15806" cy="315806"/>
                    </a:xfrm>
                    <a:prstGeom prst="rect">
                      <a:avLst/>
                    </a:prstGeom>
                  </pic:spPr>
                </pic:pic>
              </a:graphicData>
            </a:graphic>
          </wp:anchor>
        </w:drawing>
      </w:r>
      <w:r>
        <w:rPr>
          <w:sz w:val="24"/>
          <w:szCs w:val="24"/>
        </w:rPr>
        <w:t>象形图</w:t>
      </w:r>
    </w:p>
    <w:p>
      <w:pPr>
        <w:pStyle w:val="4"/>
        <w:spacing w:before="95" w:line="360" w:lineRule="auto"/>
        <w:ind w:left="0" w:leftChars="0" w:firstLine="0" w:firstLineChars="0"/>
        <w:rPr>
          <w:sz w:val="24"/>
          <w:szCs w:val="24"/>
        </w:rPr>
      </w:pPr>
      <w:r>
        <w:rPr>
          <w:sz w:val="24"/>
          <w:szCs w:val="24"/>
        </w:rPr>
        <w:t>物理和化学危险</w:t>
      </w:r>
    </w:p>
    <w:p>
      <w:pPr>
        <w:pStyle w:val="7"/>
        <w:spacing w:line="360" w:lineRule="auto"/>
        <w:rPr>
          <w:sz w:val="24"/>
          <w:szCs w:val="24"/>
        </w:rPr>
      </w:pPr>
      <w:r>
        <w:rPr>
          <w:sz w:val="24"/>
          <w:szCs w:val="24"/>
        </w:rPr>
        <w:t>目前掌握信息，没有物理或化学的危险性。</w:t>
      </w:r>
    </w:p>
    <w:p>
      <w:pPr>
        <w:pStyle w:val="4"/>
        <w:spacing w:before="0" w:line="360" w:lineRule="auto"/>
        <w:ind w:left="0" w:leftChars="0" w:firstLine="0" w:firstLineChars="0"/>
        <w:rPr>
          <w:sz w:val="24"/>
          <w:szCs w:val="24"/>
        </w:rPr>
      </w:pPr>
      <w:r>
        <w:rPr>
          <w:sz w:val="24"/>
          <w:szCs w:val="24"/>
        </w:rPr>
        <w:t>健康危害</w:t>
      </w:r>
    </w:p>
    <w:p>
      <w:pPr>
        <w:pStyle w:val="7"/>
        <w:spacing w:line="360" w:lineRule="auto"/>
        <w:rPr>
          <w:sz w:val="24"/>
          <w:szCs w:val="24"/>
        </w:rPr>
      </w:pPr>
      <w:r>
        <w:rPr>
          <w:sz w:val="24"/>
          <w:szCs w:val="24"/>
        </w:rPr>
        <w:t>目前掌握信息，没有健康危害。</w:t>
      </w:r>
    </w:p>
    <w:p>
      <w:pPr>
        <w:pStyle w:val="4"/>
        <w:spacing w:before="1" w:line="360" w:lineRule="auto"/>
        <w:ind w:left="0" w:leftChars="0" w:firstLine="0" w:firstLineChars="0"/>
        <w:rPr>
          <w:sz w:val="24"/>
          <w:szCs w:val="24"/>
        </w:rPr>
      </w:pPr>
      <w:r>
        <w:rPr>
          <w:sz w:val="24"/>
          <w:szCs w:val="24"/>
        </w:rPr>
        <w:t>环境危害</w:t>
      </w:r>
    </w:p>
    <w:p>
      <w:pPr>
        <w:pStyle w:val="7"/>
        <w:spacing w:line="360" w:lineRule="auto"/>
        <w:rPr>
          <w:sz w:val="24"/>
          <w:szCs w:val="24"/>
        </w:rPr>
      </w:pPr>
      <w:r>
        <w:rPr>
          <w:sz w:val="24"/>
          <w:szCs w:val="24"/>
        </w:rPr>
        <w:t>目前掌握信息，没有环境的危害。</w:t>
      </w:r>
    </w:p>
    <w:p>
      <w:pPr>
        <w:pStyle w:val="4"/>
        <w:spacing w:before="0" w:line="360" w:lineRule="auto"/>
        <w:ind w:left="0" w:leftChars="0" w:firstLine="0" w:firstLineChars="0"/>
        <w:rPr>
          <w:sz w:val="24"/>
          <w:szCs w:val="24"/>
        </w:rPr>
      </w:pPr>
      <w:r>
        <w:rPr>
          <w:sz w:val="24"/>
          <w:szCs w:val="24"/>
        </w:rPr>
        <w:t>其它危害物</w:t>
      </w:r>
    </w:p>
    <w:p>
      <w:pPr>
        <w:spacing w:before="137" w:line="360" w:lineRule="auto"/>
        <w:ind w:right="0"/>
        <w:jc w:val="left"/>
        <w:rPr>
          <w:sz w:val="24"/>
          <w:szCs w:val="24"/>
        </w:rPr>
      </w:pPr>
      <w:r>
        <w:rPr>
          <w:rFonts w:ascii="Arial" w:eastAsia="Arial"/>
          <w:sz w:val="24"/>
          <w:szCs w:val="24"/>
        </w:rPr>
        <w:t xml:space="preserve">- </w:t>
      </w:r>
      <w:r>
        <w:rPr>
          <w:sz w:val="24"/>
          <w:szCs w:val="24"/>
        </w:rPr>
        <w:t>无</w:t>
      </w:r>
    </w:p>
    <w:p>
      <w:pPr>
        <w:pStyle w:val="7"/>
        <w:rPr>
          <w:sz w:val="24"/>
          <w:szCs w:val="24"/>
        </w:rPr>
      </w:pPr>
    </w:p>
    <w:p>
      <w:pPr>
        <w:pStyle w:val="7"/>
        <w:spacing w:before="3"/>
        <w:rPr>
          <w:sz w:val="12"/>
        </w:rPr>
      </w:pPr>
    </w:p>
    <w:p>
      <w:pPr>
        <w:spacing w:before="0"/>
        <w:ind w:left="114" w:right="0" w:firstLine="0"/>
        <w:jc w:val="center"/>
        <w:rPr>
          <w:sz w:val="21"/>
        </w:rPr>
      </w:pPr>
      <w:r>
        <w:rPr>
          <w:rFonts w:ascii="Times New Roman" w:hAnsi="Times New Roman" w:eastAsia="黑体" w:cs="Times New Roman"/>
          <w:sz w:val="32"/>
          <w:szCs w:val="32"/>
        </w:rPr>
        <w:t>第 3 部分：成分/组成信息</w:t>
      </w:r>
    </w:p>
    <w:p>
      <w:pPr>
        <w:spacing w:before="137" w:line="360" w:lineRule="auto"/>
        <w:ind w:right="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物质</w:t>
      </w:r>
    </w:p>
    <w:p>
      <w:pPr>
        <w:spacing w:before="137" w:line="360" w:lineRule="auto"/>
        <w:ind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中文名称：</w:t>
      </w:r>
      <w:r>
        <w:rPr>
          <w:rFonts w:hint="eastAsia" w:asciiTheme="minorEastAsia" w:hAnsiTheme="minorEastAsia" w:eastAsiaTheme="minorEastAsia" w:cstheme="minorEastAsia"/>
          <w:b w:val="0"/>
          <w:bCs w:val="0"/>
          <w:sz w:val="24"/>
          <w:szCs w:val="24"/>
        </w:rPr>
        <w:t>对</w:t>
      </w:r>
      <w:r>
        <w:rPr>
          <w:rFonts w:hint="eastAsia" w:asciiTheme="minorEastAsia" w:hAnsiTheme="minorEastAsia" w:eastAsiaTheme="minorEastAsia" w:cstheme="minorEastAsia"/>
          <w:b w:val="0"/>
          <w:bCs w:val="0"/>
          <w:sz w:val="24"/>
          <w:szCs w:val="24"/>
          <w:lang w:val="en-US" w:eastAsia="zh-CN"/>
        </w:rPr>
        <w:t>氯</w:t>
      </w:r>
      <w:r>
        <w:rPr>
          <w:rFonts w:hint="eastAsia" w:asciiTheme="minorEastAsia" w:hAnsiTheme="minorEastAsia" w:eastAsiaTheme="minorEastAsia" w:cstheme="minorEastAsia"/>
          <w:b w:val="0"/>
          <w:bCs w:val="0"/>
          <w:sz w:val="24"/>
          <w:szCs w:val="24"/>
        </w:rPr>
        <w:t>肉桂酸</w:t>
      </w:r>
    </w:p>
    <w:p>
      <w:pPr>
        <w:spacing w:before="137" w:line="360" w:lineRule="auto"/>
        <w:ind w:right="0"/>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化学别名</w:t>
      </w:r>
      <w:r>
        <w:rPr>
          <w:rFonts w:hint="eastAsia" w:asciiTheme="minorEastAsia" w:hAnsiTheme="minorEastAsia" w:eastAsiaTheme="minorEastAsia" w:cstheme="minorEastAsia"/>
          <w:b w:val="0"/>
          <w:bCs w:val="0"/>
          <w:sz w:val="24"/>
          <w:szCs w:val="24"/>
        </w:rPr>
        <w:t>：4-</w:t>
      </w:r>
      <w:r>
        <w:rPr>
          <w:rFonts w:hint="eastAsia" w:asciiTheme="minorEastAsia" w:hAnsiTheme="minorEastAsia" w:eastAsiaTheme="minorEastAsia" w:cstheme="minorEastAsia"/>
          <w:b w:val="0"/>
          <w:bCs w:val="0"/>
          <w:sz w:val="24"/>
          <w:szCs w:val="24"/>
          <w:lang w:val="en-US" w:eastAsia="zh-CN"/>
        </w:rPr>
        <w:t>氯</w:t>
      </w:r>
      <w:r>
        <w:rPr>
          <w:rFonts w:hint="eastAsia" w:asciiTheme="minorEastAsia" w:hAnsiTheme="minorEastAsia" w:eastAsiaTheme="minorEastAsia" w:cstheme="minorEastAsia"/>
          <w:b w:val="0"/>
          <w:bCs w:val="0"/>
          <w:sz w:val="24"/>
          <w:szCs w:val="24"/>
        </w:rPr>
        <w:t>肉桂酸</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4-氯苯乙烯酸</w:t>
      </w:r>
    </w:p>
    <w:p>
      <w:pPr>
        <w:pStyle w:val="5"/>
        <w:spacing w:before="63" w:line="360" w:lineRule="auto"/>
        <w:ind w:left="0" w:leftChars="0" w:firstLine="0" w:firstLineChars="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rPr>
        <w:t>CAS 号</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zh-CN" w:eastAsia="zh-CN" w:bidi="zh-CN"/>
        </w:rPr>
        <w:t>1615-02-7</w:t>
      </w:r>
    </w:p>
    <w:p>
      <w:pPr>
        <w:spacing w:before="69" w:line="360" w:lineRule="auto"/>
        <w:ind w:right="0"/>
        <w:jc w:val="left"/>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w w:val="90"/>
          <w:sz w:val="24"/>
          <w:szCs w:val="24"/>
        </w:rPr>
        <w:t>EC number</w:t>
      </w:r>
      <w:r>
        <w:rPr>
          <w:rFonts w:hint="eastAsia" w:asciiTheme="minorEastAsia" w:hAnsiTheme="minorEastAsia" w:eastAsiaTheme="minorEastAsia" w:cstheme="minorEastAsia"/>
          <w:b w:val="0"/>
          <w:bCs w:val="0"/>
          <w:w w:val="90"/>
          <w:sz w:val="24"/>
          <w:szCs w:val="24"/>
          <w:lang w:eastAsia="zh-CN"/>
        </w:rPr>
        <w:t>：</w:t>
      </w:r>
      <w:r>
        <w:rPr>
          <w:rFonts w:hint="eastAsia" w:asciiTheme="minorEastAsia" w:hAnsiTheme="minorEastAsia" w:eastAsiaTheme="minorEastAsia" w:cstheme="minorEastAsia"/>
          <w:b w:val="0"/>
          <w:bCs w:val="0"/>
          <w:sz w:val="24"/>
          <w:szCs w:val="24"/>
          <w:lang w:val="zh-CN" w:eastAsia="zh-CN" w:bidi="zh-CN"/>
        </w:rPr>
        <w:t>216-564-8</w:t>
      </w:r>
    </w:p>
    <w:p>
      <w:pPr>
        <w:pStyle w:val="7"/>
        <w:spacing w:before="85" w:line="360" w:lineRule="auto"/>
        <w:ind w:right="323"/>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rPr>
        <w:t>分子式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zh-CN" w:eastAsia="zh-CN" w:bidi="zh-CN"/>
        </w:rPr>
        <w:t>C9H7ClO2</w:t>
      </w:r>
    </w:p>
    <w:p>
      <w:pPr>
        <w:pStyle w:val="4"/>
        <w:ind w:left="0" w:leftChars="0" w:firstLine="0" w:firstLineChars="0"/>
        <w:rPr>
          <w:rFonts w:hint="eastAsia" w:asciiTheme="minorEastAsia" w:hAnsiTheme="minorEastAsia" w:eastAsiaTheme="minorEastAsia" w:cstheme="minorEastAsia"/>
          <w:b w:val="0"/>
          <w:bCs w:val="0"/>
          <w:sz w:val="24"/>
          <w:szCs w:val="24"/>
          <w:lang w:val="zh-CN" w:eastAsia="zh-CN" w:bidi="zh-CN"/>
        </w:rPr>
        <w:sectPr>
          <w:headerReference r:id="rId3" w:type="default"/>
          <w:footerReference r:id="rId4" w:type="default"/>
          <w:type w:val="continuous"/>
          <w:pgSz w:w="11900" w:h="16840"/>
          <w:pgMar w:top="1440" w:right="1800" w:bottom="1440" w:left="1800" w:header="720" w:footer="720" w:gutter="0"/>
        </w:sectPr>
      </w:pPr>
      <w:r>
        <w:rPr>
          <w:rFonts w:hint="eastAsia" w:asciiTheme="minorEastAsia" w:hAnsiTheme="minorEastAsia" w:eastAsiaTheme="minorEastAsia" w:cstheme="minorEastAsia"/>
          <w:b w:val="0"/>
          <w:bCs w:val="0"/>
          <w:sz w:val="24"/>
          <w:szCs w:val="24"/>
        </w:rPr>
        <w:t>分子量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CN" w:eastAsia="zh-CN" w:bidi="zh-CN"/>
        </w:rPr>
        <w:t>182.6</w:t>
      </w:r>
    </w:p>
    <w:p>
      <w:pPr>
        <w:spacing w:before="69"/>
        <w:ind w:right="0"/>
        <w:jc w:val="left"/>
        <w:rPr>
          <w:sz w:val="14"/>
        </w:rPr>
      </w:pPr>
    </w:p>
    <w:p>
      <w:pPr>
        <w:spacing w:after="0"/>
        <w:jc w:val="left"/>
        <w:rPr>
          <w:sz w:val="14"/>
        </w:rPr>
        <w:sectPr>
          <w:type w:val="continuous"/>
          <w:pgSz w:w="11900" w:h="16840"/>
          <w:pgMar w:top="940" w:right="800" w:bottom="800" w:left="660" w:header="720" w:footer="720" w:gutter="0"/>
          <w:cols w:equalWidth="0" w:num="2">
            <w:col w:w="713" w:space="2072"/>
            <w:col w:w="7655"/>
          </w:cols>
        </w:sectPr>
      </w:pPr>
    </w:p>
    <w:p>
      <w:pPr>
        <w:pStyle w:val="7"/>
        <w:spacing w:before="5"/>
        <w:rPr>
          <w:rFonts w:ascii="Arial"/>
          <w:sz w:val="19"/>
        </w:rPr>
      </w:pPr>
    </w:p>
    <w:p>
      <w:pPr>
        <w:spacing w:before="0"/>
        <w:ind w:right="0"/>
        <w:jc w:val="center"/>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 4 部分：急救措施</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必要的急救措施描述</w:t>
      </w:r>
    </w:p>
    <w:p>
      <w:pPr>
        <w:pStyle w:val="6"/>
        <w:spacing w:before="10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吸入</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5"/>
          <w:sz w:val="24"/>
          <w:szCs w:val="24"/>
        </w:rPr>
        <w:t xml:space="preserve">如果吸入,请将患者移到新鲜空气处。 </w:t>
      </w:r>
      <w:r>
        <w:rPr>
          <w:rFonts w:hint="eastAsia" w:asciiTheme="minorEastAsia" w:hAnsiTheme="minorEastAsia" w:eastAsiaTheme="minorEastAsia" w:cstheme="minorEastAsia"/>
          <w:sz w:val="24"/>
          <w:szCs w:val="24"/>
        </w:rPr>
        <w:t>呼吸停止，进行人工呼吸。</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皮肤接触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用肥皂和大量的水冲洗。</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眼睛接触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谨慎起见用水冲洗眼睛。</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食入</w:t>
      </w:r>
    </w:p>
    <w:p>
      <w:pPr>
        <w:pStyle w:val="7"/>
        <w:spacing w:before="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切勿给失去知觉者喂食任何东西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用水漱口。</w:t>
      </w:r>
    </w:p>
    <w:p>
      <w:pPr>
        <w:pStyle w:val="7"/>
        <w:spacing w:before="7"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最重要的症状和健康影响</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最重要的已知症状及作用已在标签（参见章节2.2）和/或章节11中介绍</w:t>
      </w:r>
    </w:p>
    <w:p>
      <w:pPr>
        <w:pStyle w:val="4"/>
        <w:spacing w:before="136"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及时的医疗处理和所需的特殊处理的说明和指示</w:t>
      </w:r>
    </w:p>
    <w:p>
      <w:pPr>
        <w:pStyle w:val="7"/>
      </w:pPr>
      <w:r>
        <w:rPr>
          <w:rFonts w:hint="eastAsia" w:asciiTheme="minorEastAsia" w:hAnsiTheme="minorEastAsia" w:eastAsiaTheme="minorEastAsia" w:cstheme="minorEastAsia"/>
          <w:sz w:val="24"/>
          <w:szCs w:val="24"/>
        </w:rPr>
        <w:t>无数据资料</w:t>
      </w:r>
    </w:p>
    <w:p>
      <w:pPr>
        <w:pStyle w:val="7"/>
        <w:spacing w:before="3"/>
      </w:pPr>
    </w:p>
    <w:p>
      <w:pPr>
        <w:pStyle w:val="2"/>
        <w:rPr>
          <w:rFonts w:hint="eastAsia" w:ascii="Times New Roman" w:hAnsi="Times New Roman" w:eastAsia="黑体" w:cs="Times New Roman"/>
          <w:sz w:val="32"/>
          <w:szCs w:val="32"/>
          <w:lang w:val="en-US" w:eastAsia="zh-CN" w:bidi="zh-CN"/>
        </w:rPr>
      </w:pPr>
    </w:p>
    <w:p>
      <w:pPr>
        <w:pStyle w:val="2"/>
        <w:rPr>
          <w:rFonts w:hint="eastAsia" w:ascii="Times New Roman" w:hAnsi="Times New Roman" w:eastAsia="黑体" w:cs="Times New Roman"/>
          <w:sz w:val="32"/>
          <w:szCs w:val="32"/>
          <w:lang w:val="en-US" w:eastAsia="zh-CN" w:bidi="zh-CN"/>
        </w:rPr>
      </w:pPr>
    </w:p>
    <w:p>
      <w:pPr>
        <w:pStyle w:val="2"/>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5 部分：消防措施</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灭火介质</w:t>
      </w:r>
    </w:p>
    <w:p>
      <w:pPr>
        <w:pStyle w:val="6"/>
        <w:spacing w:before="101"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灭火方法及灭火剂</w:t>
      </w:r>
    </w:p>
    <w:p>
      <w:pPr>
        <w:pStyle w:val="7"/>
        <w:spacing w:before="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1"/>
          <w:szCs w:val="21"/>
        </w:rPr>
        <w:t>用水雾，耐醇泡沫，干粉或二氧化碳灭火。</w:t>
      </w:r>
    </w:p>
    <w:p>
      <w:pPr>
        <w:pStyle w:val="4"/>
        <w:spacing w:before="1"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源于此物质或混合物的特别的危害</w:t>
      </w:r>
    </w:p>
    <w:p>
      <w:pPr>
        <w:spacing w:before="0"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灭火注意事项及保护措施</w:t>
      </w:r>
    </w:p>
    <w:p>
      <w:pPr>
        <w:pStyle w:val="7"/>
        <w:spacing w:line="360" w:lineRule="auto"/>
        <w:ind w:left="114"/>
        <w:rPr>
          <w:sz w:val="21"/>
          <w:szCs w:val="21"/>
        </w:rPr>
      </w:pPr>
      <w:r>
        <w:rPr>
          <w:rFonts w:hint="eastAsia" w:asciiTheme="minorEastAsia" w:hAnsiTheme="minorEastAsia" w:eastAsiaTheme="minorEastAsia" w:cstheme="minorEastAsia"/>
          <w:sz w:val="21"/>
          <w:szCs w:val="21"/>
        </w:rPr>
        <w:t>如有必要，佩戴自给式呼吸器进行消防作业。</w:t>
      </w:r>
    </w:p>
    <w:p>
      <w:pPr>
        <w:pStyle w:val="7"/>
        <w:spacing w:before="4"/>
        <w:rPr>
          <w:sz w:val="13"/>
        </w:rPr>
      </w:pPr>
    </w:p>
    <w:p>
      <w:pPr>
        <w:spacing w:before="0"/>
        <w:ind w:left="114" w:right="0" w:firstLine="0"/>
        <w:jc w:val="center"/>
        <w:rPr>
          <w:rFonts w:hint="eastAsia" w:asciiTheme="minorEastAsia" w:hAnsiTheme="minorEastAsia" w:eastAsiaTheme="minorEastAsia" w:cstheme="minorEastAsia"/>
          <w:sz w:val="24"/>
          <w:szCs w:val="24"/>
        </w:rPr>
      </w:pPr>
      <w:r>
        <w:rPr>
          <w:rFonts w:hint="eastAsia" w:ascii="Times New Roman" w:hAnsi="Times New Roman" w:eastAsia="黑体" w:cs="Times New Roman"/>
          <w:sz w:val="32"/>
          <w:szCs w:val="32"/>
          <w:lang w:val="en-US" w:eastAsia="zh-CN" w:bidi="zh-CN"/>
        </w:rPr>
        <mc:AlternateContent>
          <mc:Choice Requires="wps">
            <w:drawing>
              <wp:anchor distT="0" distB="0" distL="114300" distR="114300" simplePos="0" relativeHeight="251144192" behindDoc="1" locked="0" layoutInCell="1" allowOverlap="1">
                <wp:simplePos x="0" y="0"/>
                <wp:positionH relativeFrom="page">
                  <wp:posOffset>1995170</wp:posOffset>
                </wp:positionH>
                <wp:positionV relativeFrom="paragraph">
                  <wp:posOffset>-507365</wp:posOffset>
                </wp:positionV>
                <wp:extent cx="76200" cy="76200"/>
                <wp:effectExtent l="0" t="0" r="0" b="0"/>
                <wp:wrapNone/>
                <wp:docPr id="4" name="任意多边形 15"/>
                <wp:cNvGraphicFramePr/>
                <a:graphic xmlns:a="http://schemas.openxmlformats.org/drawingml/2006/main">
                  <a:graphicData uri="http://schemas.microsoft.com/office/word/2010/wordprocessingShape">
                    <wps:wsp>
                      <wps:cNvSpPr/>
                      <wps:spPr>
                        <a:xfrm>
                          <a:off x="0" y="0"/>
                          <a:ext cx="76200" cy="76200"/>
                        </a:xfrm>
                        <a:custGeom>
                          <a:avLst/>
                          <a:gdLst/>
                          <a:ahLst/>
                          <a:cxnLst/>
                          <a:pathLst>
                            <a:path w="120" h="120">
                              <a:moveTo>
                                <a:pt x="120" y="0"/>
                              </a:moveTo>
                              <a:lnTo>
                                <a:pt x="110" y="0"/>
                              </a:lnTo>
                              <a:lnTo>
                                <a:pt x="110" y="10"/>
                              </a:lnTo>
                              <a:lnTo>
                                <a:pt x="110" y="109"/>
                              </a:lnTo>
                              <a:lnTo>
                                <a:pt x="10" y="109"/>
                              </a:lnTo>
                              <a:lnTo>
                                <a:pt x="10" y="10"/>
                              </a:lnTo>
                              <a:lnTo>
                                <a:pt x="110" y="10"/>
                              </a:lnTo>
                              <a:lnTo>
                                <a:pt x="110" y="0"/>
                              </a:lnTo>
                              <a:lnTo>
                                <a:pt x="10" y="0"/>
                              </a:lnTo>
                              <a:lnTo>
                                <a:pt x="0" y="0"/>
                              </a:lnTo>
                              <a:lnTo>
                                <a:pt x="0" y="10"/>
                              </a:lnTo>
                              <a:lnTo>
                                <a:pt x="0" y="109"/>
                              </a:lnTo>
                              <a:lnTo>
                                <a:pt x="0" y="119"/>
                              </a:lnTo>
                              <a:lnTo>
                                <a:pt x="10" y="119"/>
                              </a:lnTo>
                              <a:lnTo>
                                <a:pt x="110" y="119"/>
                              </a:lnTo>
                              <a:lnTo>
                                <a:pt x="120" y="119"/>
                              </a:lnTo>
                              <a:lnTo>
                                <a:pt x="120" y="109"/>
                              </a:lnTo>
                              <a:lnTo>
                                <a:pt x="120" y="10"/>
                              </a:lnTo>
                              <a:lnTo>
                                <a:pt x="120" y="0"/>
                              </a:lnTo>
                            </a:path>
                          </a:pathLst>
                        </a:custGeom>
                        <a:solidFill>
                          <a:srgbClr val="333333"/>
                        </a:solidFill>
                        <a:ln>
                          <a:noFill/>
                        </a:ln>
                      </wps:spPr>
                      <wps:bodyPr upright="1"/>
                    </wps:wsp>
                  </a:graphicData>
                </a:graphic>
              </wp:anchor>
            </w:drawing>
          </mc:Choice>
          <mc:Fallback>
            <w:pict>
              <v:shape id="任意多边形 15" o:spid="_x0000_s1026" o:spt="100" style="position:absolute;left:0pt;margin-left:157.1pt;margin-top:-39.95pt;height:6pt;width:6pt;mso-position-horizontal-relative:page;z-index:-252172288;mso-width-relative:page;mso-height-relative:page;" fillcolor="#333333" filled="t" stroked="f" coordsize="120,120" o:gfxdata="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cx&#10;G1HZAAAACwEAAA8AAAAAAAAAAQAgAAAAIgAAAGRycy9kb3ducmV2LnhtbFBLAQIUABQAAAAIAIdO&#10;4kDFs50mIgIAAEIGAAAOAAAAAAAAAAEAIAAAACgBAABkcnMvZTJvRG9jLnhtbFBLBQYAAAAABgAG&#10;AFkBAAC8BQAAAAA=&#10;" path="m120,0l110,0,110,10,110,109,10,109,10,10,110,10,110,0,10,0,0,0,0,10,0,109,0,119,10,119,110,119,120,119,120,109,120,10,120,0e">
                <v:fill on="t" focussize="0,0"/>
                <v:stroke on="f"/>
                <v:imagedata o:title=""/>
                <o:lock v:ext="edit" aspectratio="f"/>
              </v:shape>
            </w:pict>
          </mc:Fallback>
        </mc:AlternateContent>
      </w:r>
      <w:r>
        <w:rPr>
          <w:rFonts w:hint="eastAsia" w:ascii="Times New Roman" w:hAnsi="Times New Roman" w:eastAsia="黑体" w:cs="Times New Roman"/>
          <w:sz w:val="32"/>
          <w:szCs w:val="32"/>
          <w:lang w:val="en-US" w:eastAsia="zh-CN" w:bidi="zh-CN"/>
        </w:rPr>
        <w:t>第 6 部分：泄露应急处理</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人员防护措施、防护装备和应急处置程序</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避免粉尘生成。 避免吸入蒸气、气雾或气体。有关个人防护,请看第8部分。</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无特别的环境预防要求。</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泄漏化学品的收容、清除方法及所使用的处置材料</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扫掉和铲掉。 放入合适的封闭的容器中待处理。</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参考其他部分</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丢弃处理请参阅第13节。</w:t>
      </w: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7 部分：操作处置与储存</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安全操作的注意事项</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在有粉尘生成的地方,提供合适的排风设备。有关预防措施，请参见章节2.2。</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安全储存的条件,包括任何不兼容性</w:t>
      </w:r>
    </w:p>
    <w:p>
      <w:pPr>
        <w:pStyle w:val="7"/>
        <w:spacing w:before="137" w:line="360" w:lineRule="auto"/>
        <w:rPr>
          <w:rFonts w:hint="eastAsia" w:asciiTheme="minorEastAsia" w:hAnsiTheme="minorEastAsia" w:eastAsiaTheme="minorEastAsia" w:cstheme="minorEastAsia"/>
          <w:sz w:val="24"/>
          <w:szCs w:val="24"/>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sz w:val="24"/>
          <w:szCs w:val="24"/>
        </w:rPr>
        <w:t>贮存在阴凉处。 使容器保持密闭，储存在干燥通风处。</w:t>
      </w:r>
    </w:p>
    <w:p>
      <w:pPr>
        <w:pStyle w:val="7"/>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8 部分：接触控制/个体防护</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控制参数</w:t>
      </w:r>
    </w:p>
    <w:p>
      <w:pPr>
        <w:pStyle w:val="6"/>
        <w:spacing w:before="101"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危害组成及职业接触限值</w:t>
      </w:r>
    </w:p>
    <w:p>
      <w:pPr>
        <w:pStyle w:val="7"/>
        <w:spacing w:before="47"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没有已知的国家规定的暴露极限。</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暴露控制</w:t>
      </w:r>
    </w:p>
    <w:p>
      <w:pPr>
        <w:pStyle w:val="6"/>
        <w:spacing w:before="10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适当的技术控制</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常规的工业卫生操作。</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个体防护装备</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5"/>
          <w:szCs w:val="15"/>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眼面防护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请使用经官方标准如NIOSH (美国) 或 EN 166(欧盟) 检测与批准的设备防护眼部。</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皮肤保护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戴手套取手套在使用前必须受检查。请使用合适的方法脱除手套(不要接触手套外部表面),避免任何皮肤部位接触此产品。使用后请将被污染过的手套根据相关法律法规和有效的实验室规章程序谨慎处理。请清洗并吹干双手</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所选择的保护手套必须符合EU的89/686/EEC规定和从它衍生出来的EN 376标准。</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身体保护</w:t>
      </w:r>
    </w:p>
    <w:p>
      <w:pPr>
        <w:pStyle w:val="7"/>
        <w:spacing w:line="360" w:lineRule="auto"/>
        <w:rPr>
          <w:b/>
          <w:bCs/>
          <w:sz w:val="14"/>
        </w:rPr>
      </w:pPr>
      <w:r>
        <w:rPr>
          <w:rFonts w:hint="eastAsia" w:asciiTheme="minorEastAsia" w:hAnsiTheme="minorEastAsia" w:eastAsiaTheme="minorEastAsia" w:cstheme="minorEastAsia"/>
          <w:sz w:val="18"/>
          <w:szCs w:val="18"/>
          <w:lang w:val="en-US" w:eastAsia="zh-CN" w:bidi="zh-CN"/>
        </w:rPr>
        <w:t>根据危险物质的类型，浓度和量，以及特定的工作场所选择身体保护措施。防护设备的类型必须根据特定工作场所中的危险物的浓度和数量来选择。</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呼吸系统防护</w:t>
      </w:r>
    </w:p>
    <w:p>
      <w:pPr>
        <w:pStyle w:val="7"/>
        <w:spacing w:line="360" w:lineRule="auto"/>
        <w:rPr>
          <w:rFonts w:hint="eastAsia" w:asciiTheme="minorEastAsia" w:hAnsiTheme="minorEastAsia" w:eastAsiaTheme="minorEastAsia" w:cstheme="minorEastAsia"/>
          <w:b/>
          <w:spacing w:val="8"/>
          <w:sz w:val="14"/>
          <w:lang w:val="en-US" w:eastAsia="zh-CN"/>
        </w:rPr>
      </w:pPr>
      <w:r>
        <w:rPr>
          <w:rFonts w:hint="eastAsia" w:asciiTheme="minorEastAsia" w:hAnsiTheme="minorEastAsia" w:eastAsiaTheme="minorEastAsia" w:cstheme="minorEastAsia"/>
          <w:sz w:val="18"/>
          <w:szCs w:val="18"/>
          <w:lang w:val="en-US" w:eastAsia="zh-CN" w:bidi="zh-CN"/>
        </w:rPr>
        <w:t>不需要保护呼吸。如需防护粉尘损害，请使用N95型（US）或P1型（EN 143)防尘面具。呼吸器使用经过测试并通过政府标准如NIOSH（US）或CEN（EU）的呼吸器和零件。</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环境暴露的控制</w:t>
      </w:r>
    </w:p>
    <w:p>
      <w:pPr>
        <w:spacing w:before="0" w:line="360" w:lineRule="auto"/>
        <w:ind w:right="614"/>
        <w:jc w:val="left"/>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bidi="zh-CN"/>
        </w:rPr>
        <w:t>无特别的环境预防要求。</w:t>
      </w:r>
    </w:p>
    <w:p>
      <w:pPr>
        <w:pStyle w:val="7"/>
        <w:spacing w:line="360" w:lineRule="auto"/>
        <w:rPr>
          <w:rFonts w:hint="eastAsia" w:asciiTheme="minorEastAsia" w:hAnsiTheme="minorEastAsia" w:eastAsiaTheme="minorEastAsia" w:cstheme="minorEastAsia"/>
          <w:sz w:val="24"/>
          <w:szCs w:val="24"/>
        </w:rPr>
      </w:pPr>
    </w:p>
    <w:p>
      <w:pPr>
        <w:pStyle w:val="7"/>
        <w:spacing w:before="3"/>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9 部分：理化特性</w:t>
      </w:r>
    </w:p>
    <w:p>
      <w:pPr>
        <w:pStyle w:val="4"/>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基本的理化特性的信息</w:t>
      </w:r>
    </w:p>
    <w:p>
      <w:pPr>
        <w:rPr>
          <w:rFonts w:hint="eastAsia"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外观与性状                   形状：固体 颜色：白色；极淡黄色</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气味阈值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PH值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熔点/凝固点                  熔点/熔点范围：</w:t>
      </w:r>
      <w:r>
        <w:rPr>
          <w:rFonts w:hint="eastAsia" w:asciiTheme="minorEastAsia" w:hAnsiTheme="minorEastAsia" w:eastAsiaTheme="minorEastAsia" w:cstheme="minorEastAsia"/>
          <w:i w:val="0"/>
          <w:caps w:val="0"/>
          <w:color w:val="222222"/>
          <w:spacing w:val="0"/>
          <w:sz w:val="21"/>
          <w:szCs w:val="21"/>
          <w:shd w:val="clear" w:fill="FFFFFF"/>
        </w:rPr>
        <w:t>249-250℃</w:t>
      </w:r>
      <w:r>
        <w:rPr>
          <w:rFonts w:hint="eastAsia" w:asciiTheme="minorEastAsia" w:hAnsiTheme="minorEastAsia" w:eastAsiaTheme="minorEastAsia" w:cstheme="minorEastAsia"/>
          <w:sz w:val="21"/>
          <w:szCs w:val="21"/>
          <w:lang w:val="en-US" w:eastAsia="zh-CN"/>
        </w:rPr>
        <w:t>-lit.</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初沸点和沸程                 无数据资料</w:t>
      </w:r>
      <w:bookmarkStart w:id="2" w:name="_GoBack"/>
      <w:bookmarkEnd w:id="2"/>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闪点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蒸发速率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易燃性（固体、气体）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密度/相对密度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水溶性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正辛醇/水分配系数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自燃温度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分解温度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黏度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爆炸特性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氧化性                       无数据资料</w:t>
      </w:r>
    </w:p>
    <w:p>
      <w:pPr>
        <w:spacing w:after="0"/>
        <w:rPr>
          <w:rFonts w:hint="eastAsia" w:asciiTheme="minorEastAsia" w:hAnsiTheme="minorEastAsia" w:eastAsiaTheme="minorEastAsia" w:cstheme="minorEastAsia"/>
        </w:rPr>
      </w:pPr>
    </w:p>
    <w:p>
      <w:pPr>
        <w:pStyle w:val="4"/>
        <w:spacing w:before="5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其他安全信息</w:t>
      </w:r>
    </w:p>
    <w:p>
      <w:pPr>
        <w:pStyle w:val="7"/>
        <w:spacing w:before="18"/>
        <w:rPr>
          <w:rFonts w:hint="eastAsia" w:asciiTheme="minorEastAsia" w:hAnsiTheme="minorEastAsia" w:eastAsiaTheme="minorEastAsia" w:cstheme="minorEastAsia"/>
          <w:b/>
          <w:sz w:val="7"/>
        </w:rPr>
      </w:pPr>
    </w:p>
    <w:p>
      <w:pPr>
        <w:spacing w:after="0"/>
        <w:rPr>
          <w:rFonts w:hint="eastAsia" w:asciiTheme="minorEastAsia" w:hAnsiTheme="minorEastAsia" w:eastAsiaTheme="minorEastAsia" w:cstheme="minorEastAsia"/>
        </w:rPr>
        <w:sectPr>
          <w:type w:val="continuous"/>
          <w:pgSz w:w="11900" w:h="16840"/>
          <w:pgMar w:top="1440" w:right="1800" w:bottom="1440" w:left="1800" w:header="0" w:footer="660" w:gutter="0"/>
        </w:sectPr>
      </w:pPr>
      <w:r>
        <w:rPr>
          <w:rFonts w:hint="eastAsia" w:asciiTheme="minorEastAsia" w:hAnsiTheme="minorEastAsia" w:eastAsiaTheme="minorEastAsia" w:cstheme="minorEastAsia"/>
          <w:sz w:val="21"/>
          <w:szCs w:val="21"/>
        </w:rPr>
        <w:t>无数据资料</w:t>
      </w:r>
    </w:p>
    <w:p>
      <w:pPr>
        <w:pStyle w:val="2"/>
        <w:ind w:left="0" w:leftChars="0" w:firstLine="0" w:firstLineChars="0"/>
        <w:rPr>
          <w:color w:val="333333"/>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10 部分：稳定性和反应性</w:t>
      </w:r>
    </w:p>
    <w:p>
      <w:pPr>
        <w:pStyle w:val="4"/>
        <w:spacing w:before="99"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稳定性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在建议的贮存条件下是稳定的。</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危险反应</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应避免的条件</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危险的分解产物</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在着火情况下，会分解生成有害物质。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 xml:space="preserve">碳氧化物其他分解产物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无数据资料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當起火時:</w:t>
      </w:r>
      <w:r>
        <w:rPr>
          <w:rFonts w:hint="eastAsia" w:asciiTheme="minorEastAsia" w:hAnsiTheme="minorEastAsia" w:eastAsiaTheme="minorEastAsia" w:cstheme="minorEastAsia"/>
          <w:spacing w:val="-11"/>
          <w:sz w:val="24"/>
          <w:szCs w:val="24"/>
        </w:rPr>
        <w:t xml:space="preserve">見第 </w:t>
      </w:r>
      <w:r>
        <w:rPr>
          <w:rFonts w:hint="eastAsia" w:asciiTheme="minorEastAsia" w:hAnsiTheme="minorEastAsia" w:eastAsiaTheme="minorEastAsia" w:cstheme="minorEastAsia"/>
          <w:sz w:val="24"/>
          <w:szCs w:val="24"/>
        </w:rPr>
        <w:t>5 節滅火</w:t>
      </w:r>
      <w:r>
        <w:rPr>
          <w:rFonts w:hint="eastAsia" w:asciiTheme="minorEastAsia" w:hAnsiTheme="minorEastAsia" w:eastAsiaTheme="minorEastAsia" w:cstheme="minorEastAsia"/>
          <w:sz w:val="24"/>
          <w:szCs w:val="24"/>
          <w:lang w:val="en-US" w:eastAsia="zh-CN"/>
        </w:rPr>
        <w:t>措施</w:t>
      </w:r>
    </w:p>
    <w:p>
      <w:pPr>
        <w:spacing w:line="360" w:lineRule="auto"/>
        <w:rPr>
          <w:rFonts w:hint="eastAsia" w:asciiTheme="minorEastAsia" w:hAnsiTheme="minorEastAsia" w:eastAsiaTheme="minorEastAsia" w:cstheme="minorEastAsia"/>
          <w:sz w:val="24"/>
          <w:szCs w:val="24"/>
          <w:lang w:val="en-US" w:eastAsia="zh-CN"/>
        </w:rPr>
      </w:pPr>
    </w:p>
    <w:p>
      <w:pPr>
        <w:spacing w:before="111"/>
        <w:ind w:left="114" w:right="0" w:firstLine="0"/>
        <w:jc w:val="center"/>
        <w:rPr>
          <w:sz w:val="21"/>
        </w:rPr>
      </w:pPr>
      <w:r>
        <w:rPr>
          <w:rFonts w:hint="eastAsia" w:ascii="Times New Roman" w:hAnsi="Times New Roman" w:eastAsia="黑体" w:cs="Times New Roman"/>
          <w:sz w:val="32"/>
          <w:szCs w:val="32"/>
          <w:lang w:val="en-US" w:eastAsia="zh-CN" w:bidi="zh-CN"/>
        </w:rPr>
        <w:t>第 11 部分：毒理学信息</w:t>
      </w:r>
    </w:p>
    <w:p>
      <w:pPr>
        <w:pStyle w:val="7"/>
        <w:rPr>
          <w:sz w:val="16"/>
        </w:rPr>
      </w:pPr>
    </w:p>
    <w:p>
      <w:pPr>
        <w:pStyle w:val="4"/>
        <w:spacing w:line="360" w:lineRule="auto"/>
        <w:ind w:left="0" w:leftChars="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4"/>
          <w:szCs w:val="24"/>
        </w:rPr>
        <w:t>毒理学影响的信息</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急性毒性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皮肤腐蚀/刺激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严重眼睛损伤/眼刺激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呼吸或皮肤过敏</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生殖细胞致突变性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致癌性</w:t>
      </w:r>
    </w:p>
    <w:p>
      <w:pPr>
        <w:spacing w:before="37" w:line="360" w:lineRule="auto"/>
        <w:ind w:right="594"/>
        <w:jc w:val="left"/>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IARC: No component of this product present at levels greater than or equal to 0.1% is identified as probable, possible or confirmed human carcinogen by IARC.</w:t>
      </w:r>
    </w:p>
    <w:p>
      <w:pPr>
        <w:spacing w:before="65" w:line="360" w:lineRule="auto"/>
        <w:ind w:right="0"/>
        <w:jc w:val="left"/>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附加说明</w:t>
      </w: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化学物质毒性作用登记 : 无数据资料</w:t>
      </w:r>
    </w:p>
    <w:p>
      <w:pPr>
        <w:pStyle w:val="7"/>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en-US" w:bidi="en-US"/>
        </w:rPr>
        <w:t>据我们所知，此化学，物理和毒性性质尚未经完整的研究。</w:t>
      </w:r>
    </w:p>
    <w:p>
      <w:pPr>
        <w:pStyle w:val="7"/>
        <w:rPr>
          <w:rFonts w:hint="eastAsia" w:asciiTheme="minorEastAsia" w:hAnsiTheme="minorEastAsia" w:eastAsiaTheme="minorEastAsia" w:cstheme="minorEastAsia"/>
          <w:b w:val="0"/>
          <w:bCs w:val="0"/>
          <w:sz w:val="21"/>
          <w:szCs w:val="21"/>
          <w:lang w:val="en-US" w:eastAsia="zh-CN" w:bidi="en-US"/>
        </w:rPr>
      </w:pPr>
    </w:p>
    <w:p>
      <w:pPr>
        <w:pStyle w:val="7"/>
        <w:spacing w:before="8"/>
        <w:rPr>
          <w:sz w:val="20"/>
        </w:rPr>
      </w:pP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12 部分：生态学信息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生态毒性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持久性和降解性</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生物蓄积潜力</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土壤中的迁移性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spacing w:before="20"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PBT和vPvB的结果评价</w:t>
      </w:r>
    </w:p>
    <w:p>
      <w:pPr>
        <w:spacing w:before="20"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由于化学品安全评估未要求/未开展，因此 PBT/vPvB 评估不可用</w:t>
      </w:r>
    </w:p>
    <w:p>
      <w:pPr>
        <w:spacing w:before="20" w:line="360" w:lineRule="auto"/>
        <w:ind w:right="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其他环境有害作用</w:t>
      </w:r>
    </w:p>
    <w:p>
      <w:pPr>
        <w:pStyle w:val="7"/>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无数据资</w:t>
      </w:r>
      <w:r>
        <w:rPr>
          <w:rFonts w:hint="eastAsia" w:asciiTheme="minorEastAsia" w:hAnsiTheme="minorEastAsia" w:eastAsiaTheme="minorEastAsia" w:cstheme="minorEastAsia"/>
          <w:sz w:val="24"/>
          <w:szCs w:val="24"/>
          <w:lang w:val="en-US" w:eastAsia="zh-CN"/>
        </w:rPr>
        <w:t>料</w:t>
      </w:r>
    </w:p>
    <w:p>
      <w:pPr>
        <w:pStyle w:val="7"/>
        <w:spacing w:line="360" w:lineRule="auto"/>
        <w:rPr>
          <w:rFonts w:hint="eastAsia" w:asciiTheme="minorEastAsia" w:hAnsiTheme="minorEastAsia" w:eastAsiaTheme="minorEastAsia" w:cstheme="minorEastAsia"/>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13 部分：废弃处置</w:t>
      </w:r>
    </w:p>
    <w:p>
      <w:pPr>
        <w:pStyle w:val="7"/>
        <w:spacing w:before="3"/>
        <w:rPr>
          <w:rFonts w:hint="eastAsia" w:asciiTheme="minorEastAsia" w:hAnsiTheme="minorEastAsia" w:eastAsiaTheme="minorEastAsia" w:cstheme="minorEastAsia"/>
        </w:rPr>
      </w:pP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废物处理方法</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产品</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将剩余的和不可回收的交由有许可证的公司处理</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污染包装物</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按未用产品处置</w:t>
      </w:r>
    </w:p>
    <w:p>
      <w:pPr>
        <w:spacing w:before="0" w:line="360" w:lineRule="auto"/>
        <w:ind w:right="0"/>
        <w:jc w:val="left"/>
        <w:rPr>
          <w:rFonts w:hint="default" w:asciiTheme="minorEastAsia" w:hAnsiTheme="minorEastAsia" w:eastAsiaTheme="minorEastAsia" w:cstheme="minorEastAsia"/>
          <w:color w:val="333333"/>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14 部分：运输信息</w:t>
      </w:r>
    </w:p>
    <w:p>
      <w:pPr>
        <w:spacing w:before="6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联合国编号 / UN number</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5"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联合国运输名称 / UN proper shipping name</w:t>
      </w:r>
    </w:p>
    <w:p>
      <w:pPr>
        <w:pStyle w:val="7"/>
        <w:spacing w:before="13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非危险货物</w:t>
      </w:r>
    </w:p>
    <w:p>
      <w:pPr>
        <w:spacing w:before="69"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非危险货物 国际海运危规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IMDG: Not dangerous goods</w:t>
      </w:r>
    </w:p>
    <w:p>
      <w:pPr>
        <w:pStyle w:val="7"/>
        <w:spacing w:before="75"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IATA-DGR: Not dangerous goods</w:t>
      </w:r>
    </w:p>
    <w:p>
      <w:pPr>
        <w:spacing w:before="141"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运输危险类别 / Transport hazard class(es)</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包裹组 / Packaging group</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pStyle w:val="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 / Environmental hazards</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欧洲负责公路运输的机构/欧洲负责铁路运输的机构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国际海运危险货物规则 (IMDG)海洋污染物（是/否）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否</w:t>
      </w:r>
    </w:p>
    <w:p>
      <w:pPr>
        <w:pStyle w:val="3"/>
        <w:spacing w:before="135"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特殊防范措施 / Special precautions for user</w:t>
      </w:r>
    </w:p>
    <w:p>
      <w:pPr>
        <w:pStyle w:val="7"/>
        <w:spacing w:before="147" w:line="360" w:lineRule="auto"/>
        <w:ind w:left="114" w:right="5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请根据化学品性质选择合适的运输工具及相应的运输储存条件。运输工具应配备相应品种和数量的消防材料及泄露应急处理设备。如选择公路运输，请按规定路</w:t>
      </w:r>
      <w:r>
        <w:rPr>
          <w:rFonts w:hint="eastAsia" w:asciiTheme="minorEastAsia" w:hAnsiTheme="minorEastAsia" w:eastAsiaTheme="minorEastAsia" w:cstheme="minorEastAsia"/>
          <w:spacing w:val="-1"/>
          <w:sz w:val="24"/>
          <w:szCs w:val="24"/>
        </w:rPr>
        <w:t>线行驶。</w:t>
      </w:r>
    </w:p>
    <w:p>
      <w:pPr>
        <w:pStyle w:val="3"/>
        <w:spacing w:before="5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 / Incompatible materials</w:t>
      </w:r>
    </w:p>
    <w:p>
      <w:pPr>
        <w:pStyle w:val="7"/>
        <w:spacing w:before="1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spacing w:before="0"/>
        <w:ind w:left="114" w:right="0" w:firstLine="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15 部分：法规信息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专门对此物质或混合物的安全，健康和环境的规章 / 法规适用法规</w:t>
      </w:r>
    </w:p>
    <w:p>
      <w:pPr>
        <w:spacing w:line="360" w:lineRule="auto"/>
        <w:rPr>
          <w:rFonts w:hint="default" w:eastAsia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中华人民共和国职业病防治法</w:t>
      </w:r>
    </w:p>
    <w:p>
      <w:pPr>
        <w:spacing w:line="360" w:lineRule="auto"/>
        <w:rPr>
          <w:rFonts w:hint="default" w:asciiTheme="minorEastAsia" w:hAnsiTheme="minorEastAsia" w:eastAsiaTheme="minorEastAsia" w:cstheme="minorEastAsia"/>
          <w:b w:val="0"/>
          <w:bCs/>
          <w:spacing w:val="6"/>
          <w:sz w:val="24"/>
          <w:szCs w:val="24"/>
          <w:lang w:val="en-US"/>
        </w:rPr>
      </w:pPr>
      <w:r>
        <w:rPr>
          <w:rFonts w:hint="eastAsia" w:asciiTheme="minorEastAsia" w:hAnsiTheme="minorEastAsia" w:eastAsiaTheme="minorEastAsia" w:cstheme="minorEastAsia"/>
          <w:sz w:val="24"/>
          <w:szCs w:val="24"/>
        </w:rPr>
        <w:t>职业病危害因素分类目录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未列入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危险化学品安全管理条例</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危险品化学品目录（2018）</w:t>
      </w:r>
      <w:r>
        <w:rPr>
          <w:rFonts w:hint="eastAsia" w:asciiTheme="minorEastAsia" w:hAnsiTheme="minorEastAsia" w:eastAsiaTheme="minorEastAsia" w:cstheme="minorEastAsia"/>
          <w:spacing w:val="18"/>
          <w:w w:val="95"/>
          <w:sz w:val="24"/>
          <w:szCs w:val="24"/>
        </w:rPr>
        <w:t xml:space="preserve">: </w:t>
      </w:r>
      <w:r>
        <w:rPr>
          <w:rFonts w:hint="eastAsia" w:asciiTheme="minorEastAsia" w:hAnsiTheme="minorEastAsia" w:eastAsiaTheme="minorEastAsia" w:cstheme="minorEastAsia"/>
          <w:w w:val="95"/>
          <w:sz w:val="24"/>
          <w:szCs w:val="24"/>
        </w:rPr>
        <w:t>未列</w:t>
      </w:r>
      <w:r>
        <w:rPr>
          <w:rFonts w:hint="eastAsia" w:asciiTheme="minorEastAsia" w:hAnsiTheme="minorEastAsia" w:eastAsiaTheme="minorEastAsia" w:cstheme="minorEastAsia"/>
          <w:w w:val="95"/>
          <w:sz w:val="24"/>
          <w:szCs w:val="24"/>
          <w:lang w:val="en-US" w:eastAsia="zh-CN"/>
        </w:rPr>
        <w:t>入</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pacing w:val="8"/>
          <w:sz w:val="24"/>
          <w:szCs w:val="24"/>
        </w:rPr>
        <w:t>危险化学品环境管理登记办法</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重点环境管理危险化学品目录（2014）</w:t>
      </w:r>
      <w:r>
        <w:rPr>
          <w:rFonts w:hint="eastAsia" w:asciiTheme="minorEastAsia" w:hAnsiTheme="minorEastAsia" w:eastAsiaTheme="minorEastAsia" w:cstheme="minorEastAsia"/>
          <w:spacing w:val="7"/>
          <w:w w:val="95"/>
          <w:sz w:val="24"/>
          <w:szCs w:val="24"/>
        </w:rPr>
        <w:t xml:space="preserve">: </w:t>
      </w:r>
      <w:r>
        <w:rPr>
          <w:rFonts w:hint="eastAsia" w:asciiTheme="minorEastAsia" w:hAnsiTheme="minorEastAsia" w:eastAsiaTheme="minorEastAsia" w:cstheme="minorEastAsia"/>
          <w:w w:val="95"/>
          <w:sz w:val="24"/>
          <w:szCs w:val="24"/>
        </w:rPr>
        <w:t>未列入</w:t>
      </w:r>
    </w:p>
    <w:p>
      <w:pPr>
        <w:pStyle w:val="7"/>
        <w:spacing w:line="360" w:lineRule="auto"/>
        <w:rPr>
          <w:rFonts w:hint="eastAsia" w:asciiTheme="minorEastAsia" w:hAnsiTheme="minorEastAsia" w:eastAsiaTheme="minorEastAsia" w:cstheme="minorEastAsia"/>
          <w:b/>
          <w:spacing w:val="8"/>
          <w:sz w:val="24"/>
          <w:szCs w:val="24"/>
        </w:rPr>
      </w:pPr>
      <w:r>
        <w:rPr>
          <w:rFonts w:hint="eastAsia" w:asciiTheme="minorEastAsia" w:hAnsiTheme="minorEastAsia" w:eastAsiaTheme="minorEastAsia" w:cstheme="minorEastAsia"/>
          <w:b/>
          <w:spacing w:val="8"/>
          <w:sz w:val="24"/>
          <w:szCs w:val="24"/>
        </w:rPr>
        <w:t>麻醉药品和精神药品管理条例</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麻醉药品品种目录（2013）: 未列入精神药品品种目录（2013）: 未列入</w:t>
      </w:r>
    </w:p>
    <w:p>
      <w:pPr>
        <w:pStyle w:val="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新化学物质环境管理办法</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中国现有化学物质名录: 未列</w:t>
      </w:r>
      <w:r>
        <w:rPr>
          <w:rFonts w:hint="eastAsia" w:asciiTheme="minorEastAsia" w:hAnsiTheme="minorEastAsia" w:eastAsiaTheme="minorEastAsia" w:cstheme="minorEastAsia"/>
          <w:w w:val="95"/>
          <w:sz w:val="24"/>
          <w:szCs w:val="24"/>
          <w:lang w:val="en-US" w:eastAsia="zh-CN"/>
        </w:rPr>
        <w:t>入</w:t>
      </w:r>
    </w:p>
    <w:p>
      <w:pPr>
        <w:pStyle w:val="7"/>
        <w:spacing w:line="360" w:lineRule="auto"/>
        <w:rPr>
          <w:rFonts w:hint="default" w:asciiTheme="minorEastAsia" w:hAnsiTheme="minorEastAsia" w:eastAsiaTheme="minorEastAsia" w:cstheme="minorEastAsia"/>
          <w:b/>
          <w:bCs/>
          <w:w w:val="95"/>
          <w:sz w:val="24"/>
          <w:szCs w:val="24"/>
          <w:lang w:val="en-US" w:eastAsia="en-US"/>
        </w:rPr>
      </w:pPr>
      <w:r>
        <w:rPr>
          <w:rFonts w:hint="eastAsia" w:asciiTheme="minorEastAsia" w:hAnsiTheme="minorEastAsia" w:eastAsiaTheme="minorEastAsia" w:cstheme="minorEastAsia"/>
          <w:b/>
          <w:bCs/>
          <w:w w:val="95"/>
          <w:sz w:val="24"/>
          <w:szCs w:val="24"/>
          <w:lang w:val="en-US" w:eastAsia="zh-CN"/>
        </w:rPr>
        <w:t>其他规定</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请注意废物处理也应该满足当地法规的要求。</w:t>
      </w: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16 部分：其他信息</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参考文献</w:t>
      </w:r>
    </w:p>
    <w:p>
      <w:pPr>
        <w:spacing w:before="137"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【1】国际化学品安全规划署：国际化学品安全卡（ICSC），网址：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"http://www.ilo.org/dyn/icsc/showcard.home"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http://www.ilo.org/dyn/icsc/showcard.home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【2】国际癌症研究机构，网址：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"http://www.iarc.fr/"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http://www.iarc.fr/</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【3】OECD 全球化学品信息平台，网址：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"http://www.echemportal.org/echemportal/index?pageID=0&amp;amp;request_locale=en"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http://www.echemportal.org/echemportal/index?pageID=0&amp;request_locale=en</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【4】美国 CAMEO 化学物质数据库，网址：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"http://cameochemicals.noaa.gov/search/simple"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http://cameochemicals.noaa.gov/search/simple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【5】美国医学图书馆:化学品标识数据库，网址：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"http://chem.sis.nlm.nih.gov/chemidplus/chemidlite.jsp"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http://chem.sis.nlm.nih.gov/chemidplus/chemidlite.jsp</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70"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【6】美国环境保护署：综合危险性信息系统，网址：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"http://cfpub.epa.gov/iris/"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http://cfpub.epa.gov/iris/</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【7】美国交通部：应急响应指南，网址：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"http://www.phmsa.dot.gov/hazmat/library/erg"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http://www.phmsa.dot.gov/hazmat/library/erg</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【8】德国GESTIS-有害物质数据库，网址：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"http://gestis-en.itrust.de/"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http://gestis-en.itrust.de/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pStyle w:val="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Ascii" w:hAnsiTheme="minorEastAsia" w:eastAsiaTheme="minorEastAsia" w:cstheme="minorEastAsia"/>
          <w:sz w:val="21"/>
          <w:szCs w:val="21"/>
          <w:lang w:val="zh-CN" w:eastAsia="zh-CN" w:bidi="zh-CN"/>
        </w:rPr>
        <w:t>Sigma-Aldrich</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w:t>
      </w:r>
      <w:r>
        <w:rPr>
          <w:rFonts w:hint="eastAsia" w:asciiTheme="minorAscii" w:hAnsiTheme="minorEastAsia" w:eastAsiaTheme="minorEastAsia" w:cstheme="minorEastAsia"/>
          <w:sz w:val="21"/>
          <w:szCs w:val="21"/>
          <w:lang w:val="zh-CN" w:eastAsia="zh-CN" w:bidi="zh-CN"/>
        </w:rPr>
        <w:fldChar w:fldCharType="begin"/>
      </w:r>
      <w:r>
        <w:rPr>
          <w:rFonts w:hint="eastAsia" w:asciiTheme="minorAscii" w:hAnsiTheme="minorEastAsia" w:eastAsiaTheme="minorEastAsia" w:cstheme="minorEastAsia"/>
          <w:sz w:val="21"/>
          <w:szCs w:val="21"/>
          <w:lang w:val="zh-CN" w:eastAsia="zh-CN" w:bidi="zh-CN"/>
        </w:rPr>
        <w:instrText xml:space="preserve"> HYPERLINK "http://www.sigmaaldrich.com/" \h </w:instrText>
      </w:r>
      <w:r>
        <w:rPr>
          <w:rFonts w:hint="eastAsia" w:asciiTheme="minorAscii" w:hAnsiTheme="minorEastAsia" w:eastAsiaTheme="minorEastAsia" w:cstheme="minorEastAsia"/>
          <w:sz w:val="21"/>
          <w:szCs w:val="21"/>
          <w:lang w:val="zh-CN" w:eastAsia="zh-CN" w:bidi="zh-CN"/>
        </w:rPr>
        <w:fldChar w:fldCharType="separate"/>
      </w:r>
      <w:r>
        <w:rPr>
          <w:rFonts w:hint="eastAsia" w:asciiTheme="minorAscii" w:hAnsiTheme="minorEastAsia" w:eastAsiaTheme="minorEastAsia" w:cstheme="minorEastAsia"/>
          <w:sz w:val="21"/>
          <w:szCs w:val="21"/>
          <w:lang w:val="zh-CN" w:eastAsia="zh-CN" w:bidi="zh-CN"/>
        </w:rPr>
        <w:t>www.sigmaaldrich.com/</w:t>
      </w:r>
      <w:r>
        <w:rPr>
          <w:rFonts w:hint="eastAsia" w:asciiTheme="minorAscii" w:hAnsiTheme="minorEastAsia" w:eastAsiaTheme="minorEastAsia" w:cstheme="minorEastAsia"/>
          <w:sz w:val="21"/>
          <w:szCs w:val="21"/>
          <w:lang w:val="zh-CN" w:eastAsia="zh-CN" w:bidi="zh-CN"/>
        </w:rPr>
        <w:fldChar w:fldCharType="end"/>
      </w:r>
      <w:r>
        <w:rPr>
          <w:rFonts w:hint="eastAsia" w:asciiTheme="minorAscii" w:hAnsiTheme="minorEastAsia" w:eastAsiaTheme="minorEastAsia" w:cstheme="minorEastAsia"/>
          <w:sz w:val="21"/>
          <w:szCs w:val="21"/>
          <w:lang w:val="zh-CN" w:eastAsia="zh-CN" w:bidi="zh-CN"/>
        </w:rPr>
        <w:t>。</w:t>
      </w:r>
    </w:p>
    <w:p>
      <w:pPr>
        <w:spacing w:before="69" w:line="360" w:lineRule="auto"/>
        <w:ind w:left="114" w:right="0" w:firstLine="0"/>
        <w:jc w:val="left"/>
        <w:rPr>
          <w:rFonts w:hint="eastAsia" w:asciiTheme="minorAscii"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rPr>
        <w:t>【10】</w:t>
      </w:r>
      <w:r>
        <w:rPr>
          <w:rFonts w:hint="eastAsia" w:asciiTheme="minorAscii" w:hAnsiTheme="minorEastAsia" w:eastAsiaTheme="minorEastAsia" w:cstheme="minorEastAsia"/>
          <w:sz w:val="21"/>
          <w:szCs w:val="21"/>
          <w:lang w:val="zh-CN" w:eastAsia="zh-CN" w:bidi="zh-CN"/>
        </w:rPr>
        <w:t>Thermo Fisher</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https://fscimage.fishersci.com/。</w:t>
      </w:r>
    </w:p>
    <w:p>
      <w:pPr>
        <w:spacing w:before="136" w:line="360" w:lineRule="auto"/>
        <w:ind w:left="109" w:right="0" w:firstLine="0"/>
        <w:jc w:val="left"/>
        <w:rPr>
          <w:rFonts w:hint="eastAsia" w:asciiTheme="minorEastAsia" w:hAnsiTheme="minorEastAsia" w:eastAsiaTheme="minorEastAsia" w:cstheme="minorEastAsia"/>
          <w:sz w:val="24"/>
          <w:szCs w:val="24"/>
          <w:lang w:val="en-US" w:eastAsia="zh-CN"/>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b/>
          <w:sz w:val="24"/>
          <w:szCs w:val="24"/>
        </w:rPr>
        <w:t>其他信</w:t>
      </w:r>
      <w:r>
        <w:rPr>
          <w:rFonts w:hint="eastAsia" w:asciiTheme="minorEastAsia" w:hAnsiTheme="minorEastAsia" w:eastAsiaTheme="minorEastAsia" w:cstheme="minorEastAsia"/>
          <w:b/>
          <w:sz w:val="24"/>
          <w:szCs w:val="24"/>
          <w:lang w:val="en-US" w:eastAsia="zh-CN"/>
        </w:rPr>
        <w:t>息</w:t>
      </w:r>
    </w:p>
    <w:p>
      <w:pPr>
        <w:pStyle w:val="7"/>
        <w:spacing w:line="201" w:lineRule="auto"/>
        <w:ind w:right="70"/>
      </w:pPr>
    </w:p>
    <w:sectPr>
      <w:pgSz w:w="11900" w:h="16840"/>
      <w:pgMar w:top="1440" w:right="1800" w:bottom="1440" w:left="1800" w:header="0" w:footer="6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00"/>
    <w:family w:val="auto"/>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5"/>
      </w:rPr>
    </w:pPr>
    <w:r>
      <mc:AlternateContent>
        <mc:Choice Requires="wps">
          <w:drawing>
            <wp:anchor distT="0" distB="0" distL="114300" distR="114300" simplePos="0" relativeHeight="251131904" behindDoc="1" locked="0" layoutInCell="1" allowOverlap="1">
              <wp:simplePos x="0" y="0"/>
              <wp:positionH relativeFrom="page">
                <wp:posOffset>3463925</wp:posOffset>
              </wp:positionH>
              <wp:positionV relativeFrom="page">
                <wp:posOffset>10133965</wp:posOffset>
              </wp:positionV>
              <wp:extent cx="629920" cy="125730"/>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629920" cy="125730"/>
                      </a:xfrm>
                      <a:prstGeom prst="rect">
                        <a:avLst/>
                      </a:prstGeom>
                      <a:noFill/>
                      <a:ln>
                        <a:noFill/>
                      </a:ln>
                    </wps:spPr>
                    <wps:txbx>
                      <w:txbxContent>
                        <w:p>
                          <w:pPr>
                            <w:spacing w:before="1"/>
                            <w:ind w:right="0"/>
                            <w:jc w:val="left"/>
                            <w:rPr>
                              <w:rFonts w:ascii="Arial"/>
                              <w:sz w:val="15"/>
                            </w:rPr>
                          </w:pPr>
                        </w:p>
                      </w:txbxContent>
                    </wps:txbx>
                    <wps:bodyPr lIns="0" tIns="0" rIns="0" bIns="0" upright="1"/>
                  </wps:wsp>
                </a:graphicData>
              </a:graphic>
            </wp:anchor>
          </w:drawing>
        </mc:Choice>
        <mc:Fallback>
          <w:pict>
            <v:shape id="文本框 1025" o:spid="_x0000_s1026" o:spt="202" type="#_x0000_t202" style="position:absolute;left:0pt;margin-left:272.75pt;margin-top:797.95pt;height:9.9pt;width:49.6pt;mso-position-horizontal-relative:page;mso-position-vertical-relative:page;z-index:-252184576;mso-width-relative:page;mso-height-relative:page;" filled="f" stroked="f" coordsize="21600,21600" o:gfxdata="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w9W2HbAAAADQEAAA8A&#10;AAAAAAAAAQAgAAAAIgAAAGRycy9kb3ducmV2LnhtbFBLAQIUABQAAAAIAIdO4kAyXShyogEAACcD&#10;AAAOAAAAAAAAAAEAIAAAACoBAABkcnMvZTJvRG9jLnhtbFBLBQYAAAAABgAGAFkBAAA+BQAAAAA=&#10;">
              <v:fill on="f" focussize="0,0"/>
              <v:stroke on="f"/>
              <v:imagedata o:title=""/>
              <o:lock v:ext="edit" aspectratio="f"/>
              <v:textbox inset="0mm,0mm,0mm,0mm">
                <w:txbxContent>
                  <w:p>
                    <w:pPr>
                      <w:spacing w:before="1"/>
                      <w:ind w:right="0"/>
                      <w:jc w:val="left"/>
                      <w:rPr>
                        <w:rFonts w:ascii="Arial"/>
                        <w:sz w:val="15"/>
                      </w:rPr>
                    </w:pPr>
                  </w:p>
                </w:txbxContent>
              </v:textbox>
            </v:shape>
          </w:pict>
        </mc:Fallback>
      </mc:AlternateContent>
    </w:r>
    <w:r>
      <mc:AlternateContent>
        <mc:Choice Requires="wps">
          <w:drawing>
            <wp:anchor distT="0" distB="0" distL="114300" distR="114300" simplePos="0" relativeHeight="251132928" behindDoc="1" locked="0" layoutInCell="1" allowOverlap="1">
              <wp:simplePos x="0" y="0"/>
              <wp:positionH relativeFrom="page">
                <wp:posOffset>7115810</wp:posOffset>
              </wp:positionH>
              <wp:positionV relativeFrom="page">
                <wp:posOffset>10133965</wp:posOffset>
              </wp:positionV>
              <wp:extent cx="100965" cy="125730"/>
              <wp:effectExtent l="0" t="0" r="0" b="0"/>
              <wp:wrapNone/>
              <wp:docPr id="15" name="文本框 1026"/>
              <wp:cNvGraphicFramePr/>
              <a:graphic xmlns:a="http://schemas.openxmlformats.org/drawingml/2006/main">
                <a:graphicData uri="http://schemas.microsoft.com/office/word/2010/wordprocessingShape">
                  <wps:wsp>
                    <wps:cNvSpPr txBox="1"/>
                    <wps:spPr>
                      <a:xfrm>
                        <a:off x="0" y="0"/>
                        <a:ext cx="100965" cy="125730"/>
                      </a:xfrm>
                      <a:prstGeom prst="rect">
                        <a:avLst/>
                      </a:prstGeom>
                      <a:noFill/>
                      <a:ln>
                        <a:noFill/>
                      </a:ln>
                    </wps:spPr>
                    <wps:txbx>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560.3pt;margin-top:797.95pt;height:9.9pt;width:7.95pt;mso-position-horizontal-relative:page;mso-position-vertical-relative:page;z-index:-252183552;mso-width-relative:page;mso-height-relative:page;" filled="f" stroked="f" coordsize="21600,21600" o:gfxdata="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GmemdsAAAAPAQAADwAA&#10;AAAAAAABACAAAAAiAAAAZHJzL2Rvd25yZXYueG1sUEsBAhQAFAAAAAgAh07iQLrxIkqhAQAAJwMA&#10;AA4AAAAAAAAAAQAgAAAAKgEAAGRycy9lMm9Eb2MueG1sUEsFBgAAAAAGAAYAWQEAAD0FAAAAAA==&#10;">
              <v:fill on="f" focussize="0,0"/>
              <v:stroke on="f"/>
              <v:imagedata o:title=""/>
              <o:lock v:ext="edit" aspectratio="f"/>
              <v:textbox inset="0mm,0mm,0mm,0mm">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center"/>
      <w:rPr>
        <w:rFonts w:hint="eastAsia"/>
        <w:b/>
        <w:sz w:val="36"/>
        <w:szCs w:val="36"/>
        <w:lang w:val="en-US" w:eastAsia="zh-CN"/>
      </w:rPr>
    </w:pPr>
    <w:r>
      <w:rPr>
        <w:rFonts w:hint="eastAsia"/>
        <w:b/>
        <w:sz w:val="36"/>
        <w:szCs w:val="36"/>
      </w:rPr>
      <w:drawing>
        <wp:anchor distT="0" distB="0" distL="114300" distR="114300" simplePos="0" relativeHeight="251659264" behindDoc="0" locked="0" layoutInCell="1" allowOverlap="1">
          <wp:simplePos x="0" y="0"/>
          <wp:positionH relativeFrom="margin">
            <wp:posOffset>86360</wp:posOffset>
          </wp:positionH>
          <wp:positionV relativeFrom="margin">
            <wp:posOffset>-805815</wp:posOffset>
          </wp:positionV>
          <wp:extent cx="933450" cy="657225"/>
          <wp:effectExtent l="0" t="0" r="0" b="9525"/>
          <wp:wrapSquare wrapText="bothSides"/>
          <wp:docPr id="2"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lang w:val="en-US" w:eastAsia="zh-CN"/>
      </w:rPr>
      <w:t xml:space="preserve">  </w:t>
    </w:r>
  </w:p>
  <w:p>
    <w:pPr>
      <w:pStyle w:val="8"/>
      <w:pBdr>
        <w:bottom w:val="none" w:color="auto" w:sz="0" w:space="0"/>
      </w:pBdr>
      <w:jc w:val="center"/>
      <w:rPr>
        <w:b/>
        <w:sz w:val="36"/>
        <w:szCs w:val="36"/>
      </w:rPr>
    </w:pPr>
    <w:r>
      <w:rPr>
        <w:rFonts w:hint="eastAsia"/>
        <w:b/>
        <w:sz w:val="36"/>
        <w:szCs w:val="36"/>
      </w:rPr>
      <w:t>武汉能迈科实业有限公司</w:t>
    </w:r>
  </w:p>
  <w:p>
    <w:pPr>
      <w:pStyle w:val="8"/>
      <w:pBdr>
        <w:bottom w:val="none" w:color="auto" w:sz="0" w:space="0"/>
      </w:pBdr>
      <w:ind w:firstLine="723"/>
      <w:jc w:val="center"/>
      <w:rPr>
        <w:rFonts w:asciiTheme="minorAscii"/>
        <w:b/>
        <w:sz w:val="36"/>
        <w:szCs w:val="36"/>
      </w:rPr>
    </w:pPr>
    <w:bookmarkStart w:id="0" w:name="OLE_LINK1"/>
    <w:bookmarkStart w:id="1" w:name="OLE_LINK2"/>
    <w:r>
      <w:rPr>
        <w:rFonts w:hint="eastAsia" w:asciiTheme="minorAscii"/>
        <w:b/>
        <w:sz w:val="36"/>
        <w:szCs w:val="36"/>
      </w:rPr>
      <w:t xml:space="preserve">Wuhan </w:t>
    </w:r>
    <w:r>
      <w:rPr>
        <w:rFonts w:asciiTheme="minorAscii"/>
        <w:b/>
        <w:sz w:val="36"/>
        <w:szCs w:val="36"/>
      </w:rPr>
      <w:t xml:space="preserve">Landmark </w:t>
    </w:r>
    <w:r>
      <w:rPr>
        <w:rFonts w:hint="eastAsia" w:asciiTheme="minorAscii"/>
        <w:b/>
        <w:sz w:val="36"/>
        <w:szCs w:val="36"/>
      </w:rPr>
      <w:t>Industrial</w:t>
    </w:r>
    <w:r>
      <w:rPr>
        <w:rFonts w:asciiTheme="minorAscii"/>
        <w:b/>
        <w:sz w:val="36"/>
        <w:szCs w:val="36"/>
      </w:rPr>
      <w:t xml:space="preserve"> Co., L</w:t>
    </w:r>
    <w:bookmarkEnd w:id="0"/>
    <w:bookmarkEnd w:id="1"/>
    <w:r>
      <w:rPr>
        <w:rFonts w:hint="eastAsia" w:asciiTheme="minorAscii"/>
        <w:b/>
        <w:sz w:val="36"/>
        <w:szCs w:val="36"/>
      </w:rPr>
      <w:t>td.</w:t>
    </w:r>
  </w:p>
  <w:p>
    <w:pPr>
      <w:pStyle w:val="8"/>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71D19"/>
    <w:rsid w:val="61766506"/>
    <w:rsid w:val="63123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qFormat/>
    <w:uiPriority w:val="1"/>
    <w:pPr>
      <w:spacing w:before="66"/>
      <w:ind w:left="109"/>
      <w:outlineLvl w:val="3"/>
    </w:pPr>
    <w:rPr>
      <w:rFonts w:ascii="Microsoft JhengHei" w:hAnsi="Microsoft JhengHei" w:eastAsia="Microsoft JhengHei" w:cs="Microsoft JhengHei"/>
      <w:b/>
      <w:bCs/>
      <w:sz w:val="16"/>
      <w:szCs w:val="16"/>
      <w:lang w:val="zh-CN" w:eastAsia="zh-CN" w:bidi="zh-CN"/>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0">
    <w:name w:val="Default Paragraph Font"/>
    <w:semiHidden/>
    <w:unhideWhenUsed/>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2022-11-21T04:38:00Z</dcterms:created>
  <dc:creator>Administrator</dc:creator>
  <cp:lastModifiedBy>食秘古男吃</cp:lastModifiedBy>
  <dcterms:modified xsi:type="dcterms:W3CDTF">2022-11-21T07:37:32Z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LastSaved">
    <vt:filetime>2022-11-18T00:00:00Z</vt:filetime>
  </property>
  <property fmtid="{D5CDD505-2E9C-101B-9397-08002B2CF9AE}" pid="4" name="KSOProductBuildVer">
    <vt:lpwstr>2052-11.1.0.9021</vt:lpwstr>
  </property>
</Properties>
</file>