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bookmarkStart w:id="2" w:name="_GoBack"/>
      <w:r>
        <w:rPr>
          <w:rFonts w:hint="eastAsia" w:ascii="Times New Roman" w:hAnsi="Times New Roman" w:eastAsia="黑体" w:cs="Times New Roman"/>
          <w:sz w:val="24"/>
          <w:szCs w:val="24"/>
        </w:rPr>
        <w:t>正丁基肉桂酸酯</w:t>
      </w:r>
      <w:r>
        <w:rPr>
          <w:rFonts w:ascii="Times New Roman" w:hAnsi="Times New Roman" w:eastAsia="黑体" w:cs="Times New Roman"/>
          <w:sz w:val="24"/>
          <w:szCs w:val="24"/>
        </w:rPr>
        <w:t xml:space="preserve"> </w:t>
      </w:r>
      <w:bookmarkEnd w:id="2"/>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2"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9264;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O/TaHXAAAACQEAAA8AAAAAAAAAAQAgAAAAIgAAAGRycy9kb3du&#10;cmV2LnhtbFBLAQIUABQAAAAIAIdO4kAc/yn2AAIAAPEDAAAOAAAAAAAAAAEAIAAAACYBAABkcnMv&#10;ZTJvRG9jLnhtbFBLBQYAAAAABgAGAFkBAACY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imes New Roman" w:cs="Times New Roman" w:hAnsiTheme="minorEastAsia"/>
          <w:sz w:val="24"/>
          <w:szCs w:val="24"/>
        </w:rPr>
        <w:t>正丁基肉桂酸酯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Times New Roman" w:hAnsi="Times New Roman" w:eastAsia="黑体" w:cs="Times New Roman"/>
          <w:sz w:val="24"/>
          <w:szCs w:val="24"/>
        </w:rPr>
        <w:t>n-Butyl 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 危险性概述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物理状态</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外观与性状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气味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液体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无色</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紧急情况概述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可燃液体. 造成皮肤刺激. 造成严重眼刺激.</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GHS危险性类别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易燃液体.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类别4</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皮肤腐蚀/刺激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类别2</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严重眼损伤 / 眼刺激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类别2</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标签元素</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警示语</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警告</w:t>
      </w:r>
      <w:r>
        <w:rPr>
          <w:rFonts w:ascii="Microsoft JhengHei"/>
          <w:sz w:val="20"/>
        </w:rPr>
        <w:drawing>
          <wp:inline distT="0" distB="0" distL="0" distR="0">
            <wp:extent cx="951230" cy="952500"/>
            <wp:effectExtent l="0" t="0" r="127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951366" cy="952500"/>
                    </a:xfrm>
                    <a:prstGeom prst="rect">
                      <a:avLst/>
                    </a:prstGeom>
                  </pic:spPr>
                </pic:pic>
              </a:graphicData>
            </a:graphic>
          </wp:inline>
        </w:drawing>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危险说明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H227 - 可燃液体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H315 - 造成皮肤刺激H319 - 造成严重眼刺激</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防范说明预防措施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P210 - 远离热源/火花/明火/热表面。禁止吸烟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P264 - 作业后彻底清洗脸部、手部和任何接触的皮肤P280 - 戴防护手套/穿防护服/戴防护眼罩/戴防护面具</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事故响应</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P302 + P352 - 如皮肤沾染：用大量肥皂和水清洗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P305 + P351 + P338 - 如进入眼睛：用水小心冲洗几分钟。 如戴隐形眼镜并可方便地取出，取出隐形眼镜。继续冲洗P332 + P313 - 如发生皮肤刺激: 求医/就诊</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P337 + P313 - 如仍觉眼刺激：求医/就诊</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P370 + P378 - 火灾时： 使用干沙、化学干粉或抗溶泡沫进行灭火P362 + P364 - 脱掉沾染的衣服，清洗后方可重新使用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安全储存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P403 + P235 - 存放在通风良好的地方。保持低温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处置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P501 - 委托有资质的废弃物处理厂处置内装物/容器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物理和化学危害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可燃物.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健康危害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造成皮肤刺激. 造成严重眼刺激.</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没有包含对环境有危险的物质或者在废水处理厂不能被降解的物质。. 由于其低水溶性，不可能在环境中迁移. 由于其挥发性，可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能在环境中迁移. 外溢渗透到土壤的可能性不大. 此产品不溶于水,沉于水下。. 该产品含有挥发性有机化合物(VOC)的所有表面， 容易蒸发.</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 成分/组成资料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组分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CAS 号</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重量百分含量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正丁基肉桂酸酯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538-65-8</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&lt;=100</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 急救措施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一般建议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如症状持续，呼叫医生.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眼睛接触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立即用大量清水冲洗至少15 分钟以上，包括眼皮下面. 就医.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皮肤接触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立即用大量清水清洗至少15分钟. 如皮肤刺激持续，呼叫医生.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转移至空气新鲜处. 如呼吸停止，进行人工呼吸. 如出现症状，就医.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食入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清水漱口，然后饮用大量的水.</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最重要的症状与影响</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呼吸困难. 过度暴露的症状可能是头痛，头晕，疲倦，恶心和呕吐</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对急救人员之自我防护</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没有特别的注意事项.</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对医师的备注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对症治疗.</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 消防措施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适用的灭火剂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可以使用水雾冷却密闭容器.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基于安全原因而必须不得使用的灭火介质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化学品引起的特殊危害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可燃物. 容器受热时可能发生爆炸.</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消防员的防护设备和注意事项</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在任何火灾中，佩戴MSHA/NIOSH(批准或等效)的压力需求的自给式呼吸器和全面的防护装备.</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 泄漏应急处理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个人预防措施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确保足够的通风. 使用所需的个人防护装备. 清除所有点火源. 对静电采取预防措施.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环境保护措施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不得排放到环境中. 附加生态信息参见第12部分.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为遏制和清理方法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用惰性吸附材料吸收. 存放于适当的密闭容器中待处置. 清除所有点火源.</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 操作处置与储存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请参阅第8节和第13节所列的防护措施。.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操作</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穿个体防护装备/戴防护面具. 确保足够的通风. 避免食入和吸入。. 严防进入眼中、接触皮肤或衣服. 远离明火、热表面和点火源.</w:t>
      </w:r>
    </w:p>
    <w:p>
      <w:pPr>
        <w:spacing w:line="360" w:lineRule="auto"/>
        <w:rPr>
          <w:rFonts w:hint="eastAsia" w:ascii="Times New Roman" w:hAnsi="Times New Roman" w:eastAsia="黑体" w:cs="Times New Roman"/>
          <w:sz w:val="32"/>
          <w:szCs w:val="32"/>
        </w:rPr>
      </w:pP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安全储存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保持容器密闭，存放于干燥、阴凉且通风良好处. 远离热源，火花和火焰.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特定用途</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在实验室使用</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八 接触控制和个体防护</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控制参数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监测方法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EN 14042:2003 标题标识符：工作场所空气。用于评估暴露于化学或生物试剂的程序指南。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暴露控制工程措施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在正常使用条件下无. 确保足够的通风，尤其是在有限区域中. 确保洗眼台和安全淋浴室靠近工作场所.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个人防护设备</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眼睛防护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护目镜 (欧盟标准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 166)</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手部防护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防护手套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手套材料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突破时间</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手套的厚度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欧盟标准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手套的意见</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丁腈橡胶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请参见制造商的建议</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 374</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(最低要求)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氯丁橡胶</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天然橡胶</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PVC</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检查前使用的手套。请注意阅读手套供应商提供的关于手套的渗透性和溶剂穿透时间的说明。请参阅制造商/供应商信息。确保手套适合任务。化学兼容性。灵巧。操作条件。用户的易感性，例如敏化的影响。同时考虑使用场合的具体情况，例如危险的切割，砂磨和接触时间等。删除与护理，避免皮肤污染的手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皮肤和身体防护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长袖衫</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正常使用条件下没有必要使用防护装备.</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大型/紧急情况下使用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如果超过接触限值或发生刺激或其他症状，采用NIOSH/MSHA或欧盟标准EN 136认可的呼吸器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推荐的过滤器类型： 微粒过滤器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小规模/实验室使用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保持良好的通风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推荐半面罩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阀过滤：EN405; 或; 半面罩：EN140; 加过滤器，EN141</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卫生措施</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依照良好的工业卫生和安全实践进行操作.</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环境接触控制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九 理化特性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外观与性状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无色</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物理状态</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液体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气味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气味阈值</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pH值</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熔点/熔点范围</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软化点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沸点/沸程</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143 - 144 °C / 289.4 -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291.2 °F</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闪火点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90  °C  / 194 °F</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方法 - 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蒸发速率</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易燃性(固体，气体)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不适用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液体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爆炸极限</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蒸气压</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蒸汽密度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(空气= 1。0)</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比 重    / 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1.028 g/cm3</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 20 °C</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堆积密度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不适用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液体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水溶性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不混溶</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在其他溶剂中的溶解度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分配系数(正辛醇/水)</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自燃温度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分解温度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黏度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爆炸性气体/蒸汽混合物的可能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氧化性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分子式</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C13 H16 O2</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分子量</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204.27</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 稳定性和反应性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稳定性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正常条件下稳定.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危险反应</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正常处理过程中不会发生.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危险的聚合作用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应避免的条件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远离明火、热表面和点火源.</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应避免的材料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有害的分解产物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在正常使用条件下无.</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十一 毒理学信息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产品信息急性毒性;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皮肤腐蚀/刺激;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类别2</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严重损伤/刺激眼睛;</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类别2</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呼吸或皮肤过敏;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呼吸系统</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生殖细胞致突变性;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致癌性;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本品没有已知的致癌化学物质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STOT单曝光;</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STOT重复曝光;</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靶器官</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吸入危险。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症状   /效应急性的和滞后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过度暴露的症状可能是头痛，头晕，疲倦，恶心和呕吐</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十二 生态学信息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生态毒性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持久性和降解性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持久存留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不溶于水, 持久性是不可能, 基于提供的信息无任何已知的情况.</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生物累积潜力</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可能有一些潜在的生物蓄积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土壤中的迁移性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外溢渗透到土壤的可能性不大 此产品不溶于水,沉于水下。 该产品含有挥发性有机化合物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(VOC)的所有表面，容易蒸发 由于其低水溶性，不可能在环境中迁移 由于其挥发性，可能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在环境中迁移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内分泌干扰物信息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本品中不包含任何已知或怀疑内分泌干扰物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持久性有机污染物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本产品不含有任何已知或可疑的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臭氧消耗趋势</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本产品不含有任何已知或可疑的</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十三 废弃处置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残留物/未使用产品带来的废物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废物被分为危险物质. 按欧洲的对废物和危害性废物的条款进行处理。. 按照当地规定处理.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受污染的包装</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这个容器处置危险废物或特殊废物收集点。.</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其他信息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废物代码应由使用者根据产品的应用指定. 不要排入下水道.</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十四 运输信息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公路和铁路运输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不受管制</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MDG/ I MO</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未作规定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ATA</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未作规定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用户特别注意事项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没有特别的注意事项</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十五 法规信息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国际清单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X =上市, 中国 (IECSC), 欧洲 (EINECS/ELINCS/NLP), U.S.A. (TSCA), 加拿大 (DSL/NDSL), 菲律宾 (PICCS), Japan (ENCS), Japan (ISHL), 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大利亚(AICS), Korea (KECL).</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组分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危险化学品名录(2015版</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危险货物品名 表 - 2012版</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台湾 - 有毒化学物质名录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中国现有化学物质名录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I ECSC)</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EI NECS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TSCA</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DSL</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菲律宾化学品与化学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物质列</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I SHL</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AI 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韩国既有化学品目录 ( KECL)</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PI CCS)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正丁基肉桂酸酯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208-699-6</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KE-28425</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国家法规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请注意废物处理也应该满足当地法规的要求。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该表满足《危险化学品安全管理条例》中华人民共和国国务院令第591号；GBT16483-2008《化学品安全技术说明书 内容和项目顺序》。</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十六 其他信息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编制人</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产品安全部门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修订日期</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12-Feb-2021</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修订,再版的原因</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不适用.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培训建议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化学品危险意识培训，结合标签、安全数据表、个体防护设备和个体卫生。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注释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CAS - Chemical Abstracts Service</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TSCA - 美国有毒物质控制发难第8(b)章节目录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EI NECS/ ELI NCS - 欧洲现有商业化学物质名录/欧洲申报化学物质名录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DSL/ NDSL - 加拿大国内物质清单/非国内物质清单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PI CCS - 菲律宾化学品和化学物质名录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ENCS - 日本现有和新化学物质名录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ECSC - 中国现有化学物质名录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AI CS - 澳大利亚化学物质名录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KECL - 韩国现有及已评估的化学物质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NZI oC - 新西兰化学品名录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WEL - 工作场所接触限值</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TWA - 时间加权平均值</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ACGI H - 美国政府工业卫生专家协会</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I ARC - 国际癌症研究机构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DNEL - 衍生出来的无影响水平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预计无影响浓度 (PNEC)</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RPE - 呼吸防护设备</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LD50 - 50%致死剂量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LC50 - 50%致死浓度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EC50 - 50%有效浓度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NOEC - 无观测效应浓度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POW - 辛醇：水分配系数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PBT - 持久性，生物累积性，毒性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vPvB - 持久性，生物累积性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ADR - 欧洲关于通过公路国际运输危险货物的协议</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I CAO/ I ATA - 国际民航组织/国际航空运输协会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MO/ I MDG - 国际海事组织/国际海运危险货物规则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MARPOL - 国际防止船舶造成污染公约“船舶</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OECD - 经济合作与发展组织</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ATE - 急性毒性估计</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BCF - 生物浓度因子 (BCF)</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VOC(挥发性有机化合物)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主要参考文献和数据源</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https://echa.europa.eu/information-on-chemicals</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供应商安全数据表, Chemadvisor - LOLI, Merck索引, RTECS</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根据GB/T 16483-2008, GB/T 17519-2013</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免责声明</w:t>
      </w:r>
    </w:p>
    <w:p>
      <w:pPr>
        <w:spacing w:line="360" w:lineRule="auto"/>
        <w:rPr>
          <w:rFonts w:ascii="Times New Roman" w:cs="Times New Roman" w:hAnsiTheme="minorEastAsia"/>
          <w:sz w:val="24"/>
          <w:szCs w:val="24"/>
        </w:rPr>
      </w:pPr>
      <w:r>
        <w:rPr>
          <w:rFonts w:hint="eastAsia" w:ascii="Times New Roman" w:hAnsi="Times New Roman" w:eastAsia="黑体" w:cs="Times New Roman"/>
          <w:sz w:val="32"/>
          <w:szCs w:val="32"/>
        </w:rPr>
        <w:t>根据我们所掌握的最新知识、信息和观念，本安全技术说明书中所提供的信息是正确的。所提供的信息仅作为安全操作、使用、加工、储存、运输、处置和排放的指南，并不能作为保证书或质量说明书。这些信息仅用于指定的特定物质，可能不适用于与任何其他               物质混用，也不适用于所有情况，除非文中另有规定</w:t>
      </w:r>
      <w:r>
        <w:rPr>
          <w:rFonts w:ascii="Times New Roman" w:hAnsi="Times New Roman" w:cs="Times New Roman"/>
          <w:sz w:val="24"/>
          <w:szCs w:val="24"/>
        </w:rPr>
        <w:t>。</w:t>
      </w: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60288"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hjMTA4YzYxMTU1OGM2ZmNhODIxYjZhY2M1YTQifQ=="/>
  </w:docVars>
  <w:rsids>
    <w:rsidRoot w:val="00142CDD"/>
    <w:rsid w:val="000D51A3"/>
    <w:rsid w:val="001171FE"/>
    <w:rsid w:val="00142CDD"/>
    <w:rsid w:val="001A6A76"/>
    <w:rsid w:val="001D1708"/>
    <w:rsid w:val="00332728"/>
    <w:rsid w:val="003443BE"/>
    <w:rsid w:val="00361EA3"/>
    <w:rsid w:val="003B1FF5"/>
    <w:rsid w:val="00450A0D"/>
    <w:rsid w:val="00505192"/>
    <w:rsid w:val="0050695E"/>
    <w:rsid w:val="006309D0"/>
    <w:rsid w:val="0063125D"/>
    <w:rsid w:val="006E5506"/>
    <w:rsid w:val="006E7B9B"/>
    <w:rsid w:val="00757B76"/>
    <w:rsid w:val="00781F86"/>
    <w:rsid w:val="00857A86"/>
    <w:rsid w:val="009E332C"/>
    <w:rsid w:val="00A41D60"/>
    <w:rsid w:val="00AE292A"/>
    <w:rsid w:val="00B0233D"/>
    <w:rsid w:val="00B72949"/>
    <w:rsid w:val="00B93435"/>
    <w:rsid w:val="00BC3B57"/>
    <w:rsid w:val="00BC3FBA"/>
    <w:rsid w:val="00CA23DE"/>
    <w:rsid w:val="00CD0D67"/>
    <w:rsid w:val="00CD5A6D"/>
    <w:rsid w:val="00D05D2F"/>
    <w:rsid w:val="00E3783C"/>
    <w:rsid w:val="00E4356A"/>
    <w:rsid w:val="00E50A1A"/>
    <w:rsid w:val="00EB193E"/>
    <w:rsid w:val="00F019F6"/>
    <w:rsid w:val="00F0790F"/>
    <w:rsid w:val="00F5240B"/>
    <w:rsid w:val="00FA3CC6"/>
    <w:rsid w:val="00FE28FA"/>
    <w:rsid w:val="42793711"/>
    <w:rsid w:val="526C65AF"/>
    <w:rsid w:val="6BE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qFormat/>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15B2A-9663-4FBC-83E4-3C8EF99B87EE}">
  <ds:schemaRefs/>
</ds:datastoreItem>
</file>

<file path=docProps/app.xml><?xml version="1.0" encoding="utf-8"?>
<Properties xmlns="http://schemas.openxmlformats.org/officeDocument/2006/extended-properties" xmlns:vt="http://schemas.openxmlformats.org/officeDocument/2006/docPropsVTypes">
  <Template>Normal</Template>
  <Pages>1</Pages>
  <Words>3441</Words>
  <Characters>4212</Characters>
  <Lines>1</Lines>
  <Paragraphs>1</Paragraphs>
  <TotalTime>7</TotalTime>
  <ScaleCrop>false</ScaleCrop>
  <LinksUpToDate>false</LinksUpToDate>
  <CharactersWithSpaces>4485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2019-08-08T02:36:00Z</dcterms:created>
  <dc:creator>Administrator</dc:creator>
  <cp:lastModifiedBy>妨烧兆接页</cp:lastModifiedBy>
  <dcterms:modified xsi:type="dcterms:W3CDTF">2022-11-20T06:36:01Z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34059E8364154C40948C9B4920B78687</vt:lpwstr>
  </property>
</Properties>
</file>