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1"/>
        <w:rPr>
          <w:rFonts w:ascii="Arial"/>
          <w:sz w:val="19"/>
        </w:rPr>
      </w:pPr>
    </w:p>
    <w:p>
      <w:pPr>
        <w:spacing w:line="360" w:lineRule="auto"/>
        <w:jc w:val="center"/>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spacing w:line="360" w:lineRule="auto"/>
        <w:rPr>
          <w:rFonts w:ascii="Times New Roman" w:hAnsi="Times New Roman" w:eastAsia="黑体" w:cs="Times New Roman"/>
          <w:sz w:val="24"/>
          <w:szCs w:val="24"/>
        </w:rPr>
      </w:pP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产品名称：</w:t>
      </w:r>
      <w:r>
        <w:rPr>
          <w:rFonts w:hint="eastAsia" w:ascii="Times New Roman" w:hAnsi="Times New Roman" w:eastAsia="黑体" w:cs="Times New Roman"/>
          <w:sz w:val="24"/>
          <w:szCs w:val="24"/>
          <w:lang w:val="en-US" w:eastAsia="zh-CN"/>
        </w:rPr>
        <w:t>对甲氧基肉桂酸乙酯</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按照GB/T16483</w:t>
      </w:r>
      <w:r>
        <w:rPr>
          <w:rFonts w:hint="eastAsia" w:ascii="Times New Roman" w:hAnsi="Times New Roman" w:eastAsia="黑体" w:cs="Times New Roman"/>
          <w:sz w:val="24"/>
          <w:szCs w:val="24"/>
          <w:lang w:eastAsia="zh-CN"/>
        </w:rPr>
        <w:t>、</w:t>
      </w:r>
      <w:r>
        <w:rPr>
          <w:rFonts w:ascii="Times New Roman" w:hAnsi="Times New Roman" w:eastAsia="黑体" w:cs="Times New Roman"/>
          <w:sz w:val="24"/>
          <w:szCs w:val="24"/>
        </w:rPr>
        <w:t>GB/T17519编制</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修订日期：201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 xml:space="preserve">月02日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最初编制日期：201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版本：1.0</w:t>
      </w:r>
    </w:p>
    <w:p>
      <w:pPr>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mc:AlternateContent>
          <mc:Choice Requires="wps">
            <w:drawing>
              <wp:anchor distT="0" distB="0" distL="114300" distR="114300" simplePos="0" relativeHeight="251734016" behindDoc="0" locked="0" layoutInCell="1" allowOverlap="1">
                <wp:simplePos x="0" y="0"/>
                <wp:positionH relativeFrom="column">
                  <wp:posOffset>-10795</wp:posOffset>
                </wp:positionH>
                <wp:positionV relativeFrom="paragraph">
                  <wp:posOffset>22860</wp:posOffset>
                </wp:positionV>
                <wp:extent cx="5464175" cy="9525"/>
                <wp:effectExtent l="0" t="0" r="0" b="0"/>
                <wp:wrapNone/>
                <wp:docPr id="16" name="自选图形 5"/>
                <wp:cNvGraphicFramePr/>
                <a:graphic xmlns:a="http://schemas.openxmlformats.org/drawingml/2006/main">
                  <a:graphicData uri="http://schemas.microsoft.com/office/word/2010/wordprocessingShape">
                    <wps:wsp>
                      <wps:cNvCnPr/>
                      <wps:spPr>
                        <a:xfrm flipV="1">
                          <a:off x="0" y="0"/>
                          <a:ext cx="5464175" cy="95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5" o:spid="_x0000_s1026" o:spt="32" type="#_x0000_t32" style="position:absolute;left:0pt;flip:y;margin-left:-0.85pt;margin-top:1.8pt;height:0.75pt;width:430.25pt;z-index:251734016;mso-width-relative:page;mso-height-relative:page;" filled="f" stroked="t" coordsize="21600,21600" o:gfxdata="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LXM4/VAAAA&#10;BgEAAA8AAAAAAAAAAQAgAAAAIgAAAGRycy9kb3ducmV2LnhtbFBLAQIUABQAAAAIAIdO4kBeF4qi&#10;5wEAALEDAAAOAAAAAAAAAAEAIAAAACQBAABkcnMvZTJvRG9jLnhtbFBLBQYAAAAABgAGAFkBAAB9&#10;BQAAAAA=&#10;">
                <v:fill on="f" focussize="0,0"/>
                <v:stroke color="#000000" joinstyle="round"/>
                <v:imagedata o:title=""/>
                <o:lock v:ext="edit" aspectratio="f"/>
              </v:shape>
            </w:pict>
          </mc:Fallback>
        </mc:AlternateContent>
      </w:r>
    </w:p>
    <w:p>
      <w:pPr>
        <w:spacing w:line="360" w:lineRule="auto"/>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hint="default" w:ascii="Times New Roman" w:hAnsi="Times New Roman" w:eastAsia="黑体" w:cs="Times New Roman"/>
          <w:sz w:val="24"/>
          <w:szCs w:val="24"/>
          <w:lang w:val="en-US"/>
        </w:rPr>
      </w:pPr>
      <w:r>
        <w:rPr>
          <w:rFonts w:ascii="Times New Roman" w:hAnsi="Times New Roman" w:eastAsia="黑体" w:cs="Times New Roman"/>
          <w:sz w:val="24"/>
          <w:szCs w:val="24"/>
        </w:rPr>
        <w:t>化学品中文名：</w:t>
      </w:r>
      <w:r>
        <w:rPr>
          <w:rFonts w:hint="eastAsia" w:asciiTheme="minorEastAsia" w:hAnsiTheme="minorEastAsia" w:eastAsiaTheme="minorEastAsia" w:cstheme="minorEastAsia"/>
          <w:sz w:val="24"/>
          <w:szCs w:val="24"/>
          <w:lang w:val="en-US" w:eastAsia="zh-CN"/>
        </w:rPr>
        <w:t>对甲氧基肉桂酸乙酯</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化学品英文名：</w:t>
      </w:r>
      <w:r>
        <w:rPr>
          <w:rFonts w:hAnsi="Helvetica" w:eastAsia="Helvetica" w:cs="Helvetica" w:asciiTheme="minorAscii"/>
          <w:i w:val="0"/>
          <w:caps w:val="0"/>
          <w:color w:val="333333"/>
          <w:spacing w:val="0"/>
          <w:sz w:val="24"/>
          <w:szCs w:val="24"/>
          <w:shd w:val="clear" w:fill="FFFFFF"/>
        </w:rPr>
        <w:t>Ethyl 4-methoxycinnamate</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企业地址：</w:t>
      </w:r>
      <w:r>
        <w:rPr>
          <w:rFonts w:ascii="Times New Roman" w:cs="Times New Roman" w:hAnsiTheme="minorEastAsia"/>
          <w:sz w:val="24"/>
          <w:szCs w:val="24"/>
        </w:rPr>
        <w:t>武汉市江岸区塔子湖东路</w:t>
      </w:r>
      <w:r>
        <w:rPr>
          <w:rFonts w:ascii="Times New Roman" w:hAnsi="Times New Roman" w:eastAsia="黑体" w:cs="Times New Roman"/>
          <w:sz w:val="24"/>
          <w:szCs w:val="24"/>
        </w:rPr>
        <w:t>18</w:t>
      </w:r>
      <w:r>
        <w:rPr>
          <w:rFonts w:ascii="Times New Roman" w:cs="Times New Roman" w:hAnsiTheme="minorEastAsia"/>
          <w:sz w:val="24"/>
          <w:szCs w:val="24"/>
        </w:rPr>
        <w:t>号</w:t>
      </w:r>
    </w:p>
    <w:p>
      <w:pPr>
        <w:spacing w:line="360" w:lineRule="auto"/>
        <w:rPr>
          <w:rFonts w:ascii="Arial"/>
          <w:sz w:val="26"/>
        </w:rPr>
      </w:pPr>
      <w:r>
        <w:rPr>
          <w:rFonts w:ascii="Times New Roman" w:hAnsi="Times New Roman" w:eastAsia="黑体" w:cs="Times New Roman"/>
          <w:sz w:val="24"/>
          <w:szCs w:val="24"/>
        </w:rPr>
        <w:t>联系电话：027-83916065</w:t>
      </w:r>
    </w:p>
    <w:p>
      <w:pPr>
        <w:spacing w:line="360" w:lineRule="auto"/>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 2 部分：危险性概述</w:t>
      </w:r>
    </w:p>
    <w:p>
      <w:pPr>
        <w:spacing w:before="66"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GHS危险性类别</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根据全球协调系统(GHS)的规定，不是危险物质或混合物。</w:t>
      </w:r>
    </w:p>
    <w:p>
      <w:pPr>
        <w:spacing w:before="135"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GHS 标签要素，包括防范说明</w:t>
      </w:r>
    </w:p>
    <w:p>
      <w:pPr>
        <w:pStyle w:val="7"/>
        <w:spacing w:before="14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anchor distT="0" distB="0" distL="0" distR="0" simplePos="0" relativeHeight="251662336" behindDoc="0" locked="0" layoutInCell="1" allowOverlap="1">
            <wp:simplePos x="0" y="0"/>
            <wp:positionH relativeFrom="page">
              <wp:posOffset>2260600</wp:posOffset>
            </wp:positionH>
            <wp:positionV relativeFrom="paragraph">
              <wp:posOffset>67945</wp:posOffset>
            </wp:positionV>
            <wp:extent cx="315595" cy="3155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315806" cy="315806"/>
                    </a:xfrm>
                    <a:prstGeom prst="rect">
                      <a:avLst/>
                    </a:prstGeom>
                  </pic:spPr>
                </pic:pic>
              </a:graphicData>
            </a:graphic>
          </wp:anchor>
        </w:drawing>
      </w:r>
      <w:r>
        <w:rPr>
          <w:rFonts w:hint="eastAsia" w:asciiTheme="minorEastAsia" w:hAnsiTheme="minorEastAsia" w:eastAsiaTheme="minorEastAsia" w:cstheme="minorEastAsia"/>
          <w:sz w:val="24"/>
          <w:szCs w:val="24"/>
        </w:rPr>
        <w:t>象形图</w:t>
      </w:r>
    </w:p>
    <w:p>
      <w:pPr>
        <w:pStyle w:val="4"/>
        <w:spacing w:before="95" w:line="360" w:lineRule="auto"/>
        <w:ind w:left="0" w:leftChars="0" w:firstLine="0" w:firstLineChars="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物理和化学危险</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目前掌握信息，没有物理或化学的危险性。</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健康危害</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目前掌握信息，没有健康危害。</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环境危害</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目前掌握信息，没有环境的危害。</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其它危害物</w:t>
      </w:r>
    </w:p>
    <w:p>
      <w:pPr>
        <w:pStyle w:val="4"/>
        <w:spacing w:before="0" w:line="360" w:lineRule="auto"/>
        <w:ind w:left="0" w:leftChars="0"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无</w:t>
      </w:r>
    </w:p>
    <w:p>
      <w:pPr>
        <w:pStyle w:val="7"/>
        <w:spacing w:before="3"/>
        <w:rPr>
          <w:sz w:val="12"/>
        </w:rPr>
      </w:pPr>
    </w:p>
    <w:p>
      <w:pPr>
        <w:spacing w:line="360" w:lineRule="auto"/>
        <w:ind w:firstLine="2400" w:firstLineChars="750"/>
        <w:rPr>
          <w:rFonts w:ascii="Times New Roman" w:hAnsi="Times New Roman" w:eastAsia="黑体" w:cs="Times New Roman"/>
          <w:sz w:val="32"/>
          <w:szCs w:val="32"/>
        </w:rPr>
      </w:pPr>
    </w:p>
    <w:p>
      <w:pPr>
        <w:spacing w:line="360" w:lineRule="auto"/>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 3 部分：成分/组成信息</w:t>
      </w:r>
    </w:p>
    <w:p>
      <w:pPr>
        <w:spacing w:before="137" w:line="360" w:lineRule="auto"/>
        <w:ind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中文名称：对甲氧基肉桂酸乙酯</w:t>
      </w:r>
    </w:p>
    <w:p>
      <w:pPr>
        <w:spacing w:before="137" w:line="360" w:lineRule="auto"/>
        <w:ind w:right="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化学别名</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4-甲氧基肉桂酸乙酯</w:t>
      </w:r>
    </w:p>
    <w:p>
      <w:pPr>
        <w:pStyle w:val="5"/>
        <w:spacing w:before="63" w:line="360" w:lineRule="auto"/>
        <w:ind w:left="0" w:leftChars="0" w:firstLine="0" w:firstLineChars="0"/>
        <w:rPr>
          <w:rFonts w:hint="eastAsia"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sz w:val="24"/>
          <w:szCs w:val="24"/>
        </w:rPr>
        <w:t>CAS 号</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bidi="zh-CN"/>
        </w:rPr>
        <w:t>24393-56-4</w:t>
      </w:r>
    </w:p>
    <w:p>
      <w:pPr>
        <w:pStyle w:val="7"/>
        <w:spacing w:before="85" w:line="360" w:lineRule="auto"/>
        <w:ind w:right="323"/>
        <w:rPr>
          <w:rFonts w:hint="eastAsia"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sz w:val="24"/>
          <w:szCs w:val="24"/>
        </w:rPr>
        <w:t>分子式</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Style w:val="12"/>
          <w:rFonts w:ascii="Helvetica" w:hAnsi="Helvetica" w:eastAsia="Helvetica" w:cs="Helvetica"/>
          <w:b/>
          <w:i w:val="0"/>
          <w:caps w:val="0"/>
          <w:color w:val="000000"/>
          <w:spacing w:val="0"/>
          <w:sz w:val="24"/>
          <w:szCs w:val="24"/>
          <w:shd w:val="clear" w:fill="FFFFFF"/>
        </w:rPr>
        <w:t> </w:t>
      </w:r>
      <w:r>
        <w:rPr>
          <w:rFonts w:hint="default" w:asciiTheme="minorEastAsia" w:hAnsiTheme="minorEastAsia" w:eastAsiaTheme="minorEastAsia" w:cstheme="minorEastAsia"/>
          <w:sz w:val="24"/>
          <w:szCs w:val="24"/>
          <w:lang w:val="en-US" w:eastAsia="zh-CN" w:bidi="zh-CN"/>
        </w:rPr>
        <w:t>C12H14O3</w:t>
      </w:r>
    </w:p>
    <w:p>
      <w:pPr>
        <w:spacing w:line="360" w:lineRule="auto"/>
        <w:rPr>
          <w:rFonts w:hint="eastAsia" w:asciiTheme="minorEastAsia" w:hAnsiTheme="minorEastAsia" w:eastAsiaTheme="minorEastAsia" w:cstheme="minorEastAsia"/>
          <w:sz w:val="24"/>
          <w:szCs w:val="24"/>
          <w:lang w:val="en-US" w:eastAsia="zh-CN" w:bidi="zh-CN"/>
        </w:rPr>
      </w:pPr>
      <w:r>
        <w:rPr>
          <w:rFonts w:hint="eastAsia" w:asciiTheme="minorEastAsia" w:hAnsiTheme="minorEastAsia" w:eastAsiaTheme="minorEastAsia" w:cstheme="minorEastAsia"/>
          <w:sz w:val="24"/>
          <w:szCs w:val="24"/>
        </w:rPr>
        <w:t>分子量</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bidi="zh-CN"/>
        </w:rPr>
        <w:t>206.238</w:t>
      </w:r>
    </w:p>
    <w:p>
      <w:pPr>
        <w:pStyle w:val="7"/>
        <w:spacing w:before="5"/>
        <w:rPr>
          <w:rFonts w:ascii="Arial"/>
          <w:sz w:val="19"/>
        </w:rPr>
      </w:pPr>
    </w:p>
    <w:p>
      <w:pPr>
        <w:spacing w:before="60"/>
        <w:ind w:left="114" w:right="0" w:firstLine="0"/>
        <w:jc w:val="center"/>
        <w:rPr>
          <w:sz w:val="21"/>
        </w:rPr>
      </w:pPr>
      <w:r>
        <w:rPr>
          <w:rFonts w:ascii="Times New Roman" w:hAnsi="Times New Roman" w:eastAsia="黑体" w:cs="Times New Roman"/>
          <w:sz w:val="32"/>
          <w:szCs w:val="32"/>
        </w:rPr>
        <w:t>第 4 部分：急救措施</w:t>
      </w:r>
    </w:p>
    <w:p>
      <w:pPr>
        <w:spacing w:before="66"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必要的急救措施描述</w:t>
      </w:r>
    </w:p>
    <w:p>
      <w:pPr>
        <w:pStyle w:val="6"/>
        <w:spacing w:before="10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吸入</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5"/>
          <w:sz w:val="24"/>
          <w:szCs w:val="24"/>
        </w:rPr>
        <w:t xml:space="preserve">如果吸入,请将患者移到新鲜空气处。 </w:t>
      </w:r>
      <w:r>
        <w:rPr>
          <w:rFonts w:hint="eastAsia" w:asciiTheme="minorEastAsia" w:hAnsiTheme="minorEastAsia" w:eastAsiaTheme="minorEastAsia" w:cstheme="minorEastAsia"/>
          <w:sz w:val="24"/>
          <w:szCs w:val="24"/>
        </w:rPr>
        <w:t>呼吸停止，进行人工呼吸。</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皮肤接触</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用肥皂和大量的水冲洗。</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眼睛接触</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谨慎起见用水冲洗眼睛。</w:t>
      </w:r>
    </w:p>
    <w:p>
      <w:pPr>
        <w:pStyle w:val="7"/>
        <w:spacing w:before="85" w:line="360" w:lineRule="auto"/>
        <w:ind w:right="3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食入</w:t>
      </w:r>
    </w:p>
    <w:p>
      <w:pPr>
        <w:pStyle w:val="7"/>
        <w:spacing w:before="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切勿给失去知觉者喂食任何东西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用水漱口。</w:t>
      </w:r>
    </w:p>
    <w:p>
      <w:pPr>
        <w:pStyle w:val="7"/>
        <w:spacing w:before="7"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最重要的症状和健康影响</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最重要的已知症状及作用已在标签（参见章节2.2）和/或章节11中介绍</w:t>
      </w:r>
    </w:p>
    <w:p>
      <w:pPr>
        <w:pStyle w:val="4"/>
        <w:spacing w:before="136"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及时的医疗处理和所需的特殊处理的说明和指示</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对医生的特别提示</w:t>
      </w:r>
    </w:p>
    <w:p>
      <w:pPr>
        <w:pStyle w:val="7"/>
      </w:pPr>
      <w:r>
        <w:rPr>
          <w:rFonts w:hint="eastAsia" w:asciiTheme="minorEastAsia" w:hAnsiTheme="minorEastAsia" w:eastAsiaTheme="minorEastAsia" w:cstheme="minorEastAsia"/>
          <w:sz w:val="24"/>
          <w:szCs w:val="24"/>
        </w:rPr>
        <w:t>无数据资料</w:t>
      </w:r>
    </w:p>
    <w:p>
      <w:pPr>
        <w:pStyle w:val="2"/>
        <w:ind w:left="0" w:leftChars="0" w:firstLine="0" w:firstLineChars="0"/>
        <w:rPr>
          <w:color w:val="333333"/>
        </w:rPr>
      </w:pPr>
    </w:p>
    <w:p>
      <w:pPr>
        <w:pStyle w:val="2"/>
        <w:rPr>
          <w:color w:val="333333"/>
        </w:rPr>
      </w:pPr>
    </w:p>
    <w:p>
      <w:pPr>
        <w:pStyle w:val="2"/>
        <w:jc w:val="center"/>
        <w:rPr>
          <w:rFonts w:ascii="Times New Roman" w:hAnsi="Times New Roman" w:eastAsia="黑体" w:cs="Times New Roman"/>
          <w:sz w:val="32"/>
          <w:szCs w:val="32"/>
          <w:lang w:val="zh-CN" w:eastAsia="zh-CN" w:bidi="zh-CN"/>
        </w:rPr>
      </w:pPr>
    </w:p>
    <w:p>
      <w:pPr>
        <w:pStyle w:val="2"/>
        <w:jc w:val="center"/>
        <w:rPr>
          <w:rFonts w:ascii="Times New Roman" w:hAnsi="Times New Roman" w:eastAsia="黑体" w:cs="Times New Roman"/>
          <w:sz w:val="32"/>
          <w:szCs w:val="32"/>
          <w:lang w:val="zh-CN" w:eastAsia="zh-CN" w:bidi="zh-CN"/>
        </w:rPr>
      </w:pPr>
    </w:p>
    <w:p>
      <w:pPr>
        <w:pStyle w:val="2"/>
        <w:jc w:val="center"/>
        <w:rPr>
          <w:rFonts w:ascii="Times New Roman" w:hAnsi="Times New Roman" w:eastAsia="黑体" w:cs="Times New Roman"/>
          <w:sz w:val="32"/>
          <w:szCs w:val="32"/>
          <w:lang w:val="zh-CN" w:eastAsia="zh-CN" w:bidi="zh-CN"/>
        </w:rPr>
      </w:pPr>
    </w:p>
    <w:p>
      <w:pPr>
        <w:pStyle w:val="2"/>
        <w:jc w:val="center"/>
      </w:pPr>
      <w:r>
        <w:rPr>
          <w:rFonts w:ascii="Times New Roman" w:hAnsi="Times New Roman" w:eastAsia="黑体" w:cs="Times New Roman"/>
          <w:sz w:val="32"/>
          <w:szCs w:val="32"/>
          <w:lang w:val="zh-CN" w:eastAsia="zh-CN" w:bidi="zh-CN"/>
        </w:rPr>
        <w:t>第 5 部分：消防措施</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灭火介质</w:t>
      </w:r>
    </w:p>
    <w:p>
      <w:pPr>
        <w:pStyle w:val="6"/>
        <w:spacing w:before="10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灭火方法及灭火剂</w:t>
      </w:r>
    </w:p>
    <w:p>
      <w:pPr>
        <w:pStyle w:val="7"/>
        <w:spacing w:before="4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用水雾，耐醇泡沫，干粉或二氧化碳灭火。</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源于此物质或混合物的特别的危害</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碳氧化物</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灭火注意事项及保护措施</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如有必要，佩戴自给式呼吸器进行消防作业。</w:t>
      </w:r>
    </w:p>
    <w:p>
      <w:pPr>
        <w:pStyle w:val="7"/>
      </w:pPr>
    </w:p>
    <w:p>
      <w:pPr>
        <w:pStyle w:val="7"/>
        <w:spacing w:before="3"/>
      </w:pPr>
    </w:p>
    <w:p>
      <w:pPr>
        <w:pStyle w:val="2"/>
        <w:ind w:left="0" w:leftChars="0" w:firstLine="0" w:firstLineChars="0"/>
        <w:jc w:val="center"/>
      </w:pPr>
      <w:r>
        <w:rPr>
          <w:rFonts w:ascii="Times New Roman" w:hAnsi="Times New Roman" w:eastAsia="黑体" w:cs="Times New Roman"/>
          <w:sz w:val="32"/>
          <w:szCs w:val="32"/>
          <w:lang w:val="zh-CN" w:eastAsia="zh-CN" w:bidi="zh-CN"/>
        </w:rPr>
        <w:t>第 6 部分：泄露应急处理</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人员防护措施、防护装备和应急处置程序</w:t>
      </w:r>
    </w:p>
    <w:p>
      <w:pPr>
        <w:pStyle w:val="7"/>
        <w:spacing w:before="13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避免粉尘生成。 避免吸入蒸气、气雾或气体。有关个人防护,请看第8部分。</w:t>
      </w:r>
    </w:p>
    <w:p>
      <w:pPr>
        <w:pStyle w:val="4"/>
        <w:spacing w:before="135"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环境保护措施</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不要让产品进入下水道。</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泄漏化学品的收容、清除方法及所使用的处置材料</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扫掉和铲掉。 放入合适的封闭的容器中待处理。</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参考其他部分</w:t>
      </w:r>
    </w:p>
    <w:p>
      <w:pPr>
        <w:pStyle w:val="4"/>
        <w:spacing w:before="0" w:line="360" w:lineRule="auto"/>
        <w:ind w:left="0" w:leftChars="0" w:firstLine="0" w:firstLine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丢弃处理请参阅第13节。</w:t>
      </w:r>
    </w:p>
    <w:p>
      <w:pPr>
        <w:pStyle w:val="7"/>
        <w:rPr>
          <w:sz w:val="16"/>
        </w:rPr>
      </w:pPr>
    </w:p>
    <w:p>
      <w:pPr>
        <w:pStyle w:val="7"/>
        <w:spacing w:before="3"/>
        <w:rPr>
          <w:sz w:val="12"/>
        </w:rPr>
      </w:pPr>
    </w:p>
    <w:p>
      <w:pPr>
        <w:pStyle w:val="2"/>
        <w:jc w:val="center"/>
      </w:pPr>
      <w:r>
        <w:rPr>
          <w:rFonts w:ascii="Times New Roman" w:hAnsi="Times New Roman" w:eastAsia="黑体" w:cs="Times New Roman"/>
          <w:sz w:val="32"/>
          <w:szCs w:val="32"/>
          <w:lang w:val="zh-CN" w:eastAsia="zh-CN" w:bidi="zh-CN"/>
        </w:rPr>
        <w:t>第 7 部分：操作处置与储存</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安全操作的注意事项</w:t>
      </w:r>
    </w:p>
    <w:p>
      <w:pPr>
        <w:pStyle w:val="7"/>
        <w:spacing w:before="137" w:line="36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在有粉尘生成的地方,提供合适的排风设备。一般性的防火保护措施。有关预防措施，请参见章节2.</w:t>
      </w:r>
      <w:r>
        <w:rPr>
          <w:rFonts w:hint="eastAsia" w:asciiTheme="minorEastAsia" w:hAnsiTheme="minorEastAsia" w:eastAsiaTheme="minorEastAsia" w:cstheme="minorEastAsia"/>
          <w:sz w:val="21"/>
          <w:szCs w:val="21"/>
          <w:lang w:val="en-US" w:eastAsia="zh-CN"/>
        </w:rPr>
        <w:t>2</w:t>
      </w:r>
    </w:p>
    <w:p>
      <w:pPr>
        <w:pStyle w:val="7"/>
        <w:spacing w:before="137" w:line="360" w:lineRule="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安全储存的条件,包括任何不兼容性</w:t>
      </w:r>
    </w:p>
    <w:p>
      <w:pPr>
        <w:pStyle w:val="7"/>
        <w:spacing w:before="137" w:line="360"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贮存在阴凉处</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使容器保持密闭，储存在干燥通风</w:t>
      </w:r>
    </w:p>
    <w:p>
      <w:pPr>
        <w:pStyle w:val="7"/>
        <w:spacing w:before="137" w:line="360" w:lineRule="auto"/>
        <w:rPr>
          <w:rFonts w:hint="eastAsia" w:asciiTheme="minorEastAsia" w:hAnsiTheme="minorEastAsia" w:eastAsiaTheme="minorEastAsia" w:cstheme="minorEastAsia"/>
          <w:b w:val="0"/>
          <w:bCs w:val="0"/>
          <w:sz w:val="21"/>
          <w:szCs w:val="21"/>
          <w:lang w:val="en-US" w:eastAsia="zh-CN"/>
        </w:rPr>
      </w:pPr>
    </w:p>
    <w:p>
      <w:pPr>
        <w:pStyle w:val="2"/>
        <w:ind w:left="0" w:leftChars="0" w:firstLine="0" w:firstLineChars="0"/>
        <w:jc w:val="center"/>
        <w:rPr>
          <w:rFonts w:hint="eastAsia" w:ascii="Times New Roman" w:hAnsi="Times New Roman" w:eastAsia="黑体" w:cs="Times New Roman"/>
          <w:sz w:val="32"/>
          <w:szCs w:val="32"/>
          <w:lang w:val="en-US" w:eastAsia="zh-CN" w:bidi="zh-CN"/>
        </w:rPr>
      </w:pPr>
    </w:p>
    <w:p>
      <w:pPr>
        <w:pStyle w:val="2"/>
        <w:ind w:left="0" w:leftChars="0" w:firstLine="0" w:firstLineChars="0"/>
        <w:jc w:val="both"/>
        <w:rPr>
          <w:rFonts w:hint="eastAsia" w:ascii="Times New Roman" w:hAnsi="Times New Roman" w:eastAsia="黑体" w:cs="Times New Roman"/>
          <w:sz w:val="32"/>
          <w:szCs w:val="32"/>
          <w:lang w:val="en-US" w:eastAsia="zh-CN" w:bidi="zh-CN"/>
        </w:rPr>
      </w:pPr>
    </w:p>
    <w:p>
      <w:pPr>
        <w:pStyle w:val="2"/>
        <w:ind w:left="0" w:leftChars="0" w:firstLine="0" w:firstLineChars="0"/>
        <w:jc w:val="center"/>
      </w:pPr>
      <w:r>
        <w:rPr>
          <w:rFonts w:hint="eastAsia" w:ascii="Times New Roman" w:hAnsi="Times New Roman" w:eastAsia="黑体" w:cs="Times New Roman"/>
          <w:sz w:val="32"/>
          <w:szCs w:val="32"/>
          <w:lang w:val="en-US" w:eastAsia="zh-CN" w:bidi="zh-CN"/>
        </w:rPr>
        <w:t>第 8 部分：接触控制/个体防护</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控制参数</w:t>
      </w:r>
    </w:p>
    <w:p>
      <w:pPr>
        <w:pStyle w:val="6"/>
        <w:spacing w:before="101"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危害组成及职业接触限值</w:t>
      </w:r>
    </w:p>
    <w:p>
      <w:pPr>
        <w:pStyle w:val="7"/>
        <w:spacing w:before="47" w:line="360" w:lineRule="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没有已知的国家规定的暴露极限。</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暴露控制</w:t>
      </w:r>
    </w:p>
    <w:p>
      <w:pPr>
        <w:pStyle w:val="6"/>
        <w:spacing w:before="100" w:line="360" w:lineRule="auto"/>
        <w:ind w:left="0" w:leftChars="0"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适当的技术控制</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常规的工业卫生操作。</w:t>
      </w: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个体防护装备</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5"/>
          <w:szCs w:val="15"/>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眼面防护</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请使用经官方标准如NIOSH (美国) 或 EN 166(欧盟) 检测与批准的设备防护眼部。</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皮肤保护</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戴手套取手套在使用前必须受检查。请使用合适的方法脱除手套(不要接触手套外部表面),避免任何皮肤部位接触此产品。使用后请将被污染过的手套根据相关法律法规和有效的实验室规章程序谨慎处理。请清洗并吹干双手</w:t>
      </w:r>
    </w:p>
    <w:p>
      <w:pPr>
        <w:spacing w:line="360" w:lineRule="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所选择的保护手套必须符合EU的89/686/EEC规定和从它衍生出来的EN 376标准。</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身体保护</w:t>
      </w:r>
    </w:p>
    <w:p>
      <w:pPr>
        <w:pStyle w:val="7"/>
        <w:spacing w:line="360" w:lineRule="auto"/>
        <w:rPr>
          <w:b/>
          <w:bCs/>
          <w:sz w:val="14"/>
        </w:rPr>
      </w:pPr>
      <w:r>
        <w:rPr>
          <w:rFonts w:hint="eastAsia" w:asciiTheme="minorEastAsia" w:hAnsiTheme="minorEastAsia" w:eastAsiaTheme="minorEastAsia" w:cstheme="minorEastAsia"/>
          <w:sz w:val="18"/>
          <w:szCs w:val="18"/>
          <w:lang w:val="en-US" w:eastAsia="zh-CN" w:bidi="zh-CN"/>
        </w:rPr>
        <w:t>根据危险物质的类型，浓度和量，以及特定的工作场所选择身体保护措施。防护设备的类型必须根据特定工作场所中的危险物的浓度和数量来选择。</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呼吸系统防护</w:t>
      </w:r>
    </w:p>
    <w:p>
      <w:pPr>
        <w:pStyle w:val="7"/>
        <w:spacing w:line="360" w:lineRule="auto"/>
        <w:rPr>
          <w:rFonts w:hint="eastAsia" w:asciiTheme="minorEastAsia" w:hAnsiTheme="minorEastAsia" w:eastAsiaTheme="minorEastAsia" w:cstheme="minorEastAsia"/>
          <w:b/>
          <w:spacing w:val="8"/>
          <w:sz w:val="14"/>
          <w:lang w:val="en-US" w:eastAsia="zh-CN"/>
        </w:rPr>
      </w:pPr>
      <w:r>
        <w:rPr>
          <w:rFonts w:hint="eastAsia" w:asciiTheme="minorEastAsia" w:hAnsiTheme="minorEastAsia" w:eastAsiaTheme="minorEastAsia" w:cstheme="minorEastAsia"/>
          <w:sz w:val="18"/>
          <w:szCs w:val="18"/>
          <w:lang w:val="en-US" w:eastAsia="zh-CN" w:bidi="zh-CN"/>
        </w:rPr>
        <w:t>不需要保护呼吸。如需防护粉尘损害，请使用N95型（US）或P1型（EN 143)防尘面具。呼吸器使用经过测试并通过政府标准如NIOSH（US）或CEN（EU）的呼吸器和零件。</w:t>
      </w:r>
    </w:p>
    <w:p>
      <w:pPr>
        <w:pStyle w:val="6"/>
        <w:spacing w:line="360" w:lineRule="auto"/>
        <w:ind w:left="0" w:leftChars="0" w:firstLine="0" w:firstLineChars="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环境暴露的控制</w:t>
      </w:r>
    </w:p>
    <w:p>
      <w:pPr>
        <w:spacing w:before="0" w:line="360" w:lineRule="auto"/>
        <w:ind w:right="614"/>
        <w:jc w:val="left"/>
      </w:pPr>
      <w:r>
        <w:rPr>
          <w:rFonts w:hint="eastAsia" w:asciiTheme="minorEastAsia" w:hAnsiTheme="minorEastAsia" w:eastAsiaTheme="minorEastAsia" w:cstheme="minorEastAsia"/>
          <w:sz w:val="18"/>
          <w:szCs w:val="18"/>
          <w:lang w:val="en-US" w:eastAsia="zh-CN" w:bidi="zh-CN"/>
        </w:rPr>
        <w:t>无特别的环境预防要求。</w:t>
      </w:r>
    </w:p>
    <w:p>
      <w:pPr>
        <w:pStyle w:val="2"/>
        <w:ind w:left="0" w:leftChars="0" w:firstLine="0" w:firstLineChars="0"/>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9 部分：理化特性</w:t>
      </w:r>
    </w:p>
    <w:p>
      <w:pPr>
        <w:pStyle w:val="4"/>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基本的理化特性的信息</w:t>
      </w:r>
    </w:p>
    <w:p>
      <w:pPr>
        <w:rPr>
          <w:rFonts w:hint="eastAsia" w:asciiTheme="minorEastAsia" w:hAnsiTheme="minorEastAsia" w:eastAsiaTheme="minorEastAsia" w:cstheme="minorEastAsia"/>
          <w:sz w:val="21"/>
          <w:szCs w:val="21"/>
          <w:lang w:val="en-US" w:eastAsia="zh-CN"/>
        </w:rPr>
      </w:pP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外观与性状                   性状</w:t>
      </w:r>
      <w:bookmarkStart w:id="2" w:name="_GoBack"/>
      <w:bookmarkEnd w:id="2"/>
      <w:r>
        <w:rPr>
          <w:rFonts w:hint="eastAsia" w:asciiTheme="minorEastAsia" w:hAnsiTheme="minorEastAsia" w:eastAsiaTheme="minorEastAsia" w:cstheme="minorEastAsia"/>
          <w:sz w:val="21"/>
          <w:szCs w:val="21"/>
          <w:lang w:val="en-US" w:eastAsia="zh-CN"/>
        </w:rPr>
        <w:t>：固体 颜色：白色</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气味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气味阈值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PH值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熔点/凝固点                  熔点/熔点范围：49℃-lit.</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初沸点和沸程                 187℃/2.0kPa</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闪点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蒸发速率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易燃性（固体、气体）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蒸气压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蒸气密度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密度/相对密度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水溶性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正辛醇/水分配系数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自燃温度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分解温度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黏度                         无数据资料</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爆炸特性                     无数据资料</w:t>
      </w:r>
    </w:p>
    <w:p>
      <w:pP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氧化性                       无数据资料</w:t>
      </w:r>
    </w:p>
    <w:p>
      <w:pPr>
        <w:spacing w:after="0"/>
        <w:rPr>
          <w:rFonts w:hint="eastAsia" w:asciiTheme="minorEastAsia" w:hAnsiTheme="minorEastAsia" w:eastAsiaTheme="minorEastAsia" w:cstheme="minorEastAsia"/>
        </w:rPr>
      </w:pPr>
    </w:p>
    <w:p>
      <w:pPr>
        <w:pStyle w:val="4"/>
        <w:spacing w:before="50"/>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其他安全信息</w:t>
      </w:r>
    </w:p>
    <w:p>
      <w:pPr>
        <w:pStyle w:val="7"/>
        <w:spacing w:before="18"/>
        <w:rPr>
          <w:rFonts w:hint="eastAsia" w:asciiTheme="minorEastAsia" w:hAnsiTheme="minorEastAsia" w:eastAsiaTheme="minorEastAsia" w:cstheme="minorEastAsia"/>
          <w:b/>
          <w:sz w:val="7"/>
        </w:rPr>
      </w:pPr>
    </w:p>
    <w:p>
      <w:pPr>
        <w:spacing w:after="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无数据资料</w:t>
      </w:r>
    </w:p>
    <w:p>
      <w:pPr>
        <w:spacing w:after="0"/>
        <w:rPr>
          <w:rFonts w:hint="eastAsia" w:asciiTheme="minorEastAsia" w:hAnsiTheme="minorEastAsia" w:eastAsiaTheme="minorEastAsia" w:cstheme="minorEastAsia"/>
          <w:sz w:val="21"/>
          <w:szCs w:val="21"/>
        </w:rPr>
      </w:pPr>
    </w:p>
    <w:p>
      <w:pPr>
        <w:pStyle w:val="2"/>
        <w:ind w:left="0" w:leftChars="0" w:firstLine="0" w:firstLineChars="0"/>
        <w:jc w:val="center"/>
        <w:rPr>
          <w:rFonts w:hint="eastAsia" w:ascii="Times New Roman" w:hAnsi="Times New Roman" w:eastAsia="黑体" w:cs="Times New Roman"/>
          <w:sz w:val="32"/>
          <w:szCs w:val="32"/>
          <w:lang w:val="en-US" w:eastAsia="zh-CN" w:bidi="zh-CN"/>
        </w:rPr>
      </w:pPr>
      <w:r>
        <w:rPr>
          <w:rFonts w:hint="eastAsia" w:ascii="Times New Roman" w:hAnsi="Times New Roman" w:eastAsia="黑体" w:cs="Times New Roman"/>
          <w:sz w:val="32"/>
          <w:szCs w:val="32"/>
          <w:lang w:val="en-US" w:eastAsia="zh-CN" w:bidi="zh-CN"/>
        </w:rPr>
        <w:t>第 10 部分：稳定性和反应性</w:t>
      </w:r>
    </w:p>
    <w:p>
      <w:pPr>
        <w:pStyle w:val="4"/>
        <w:spacing w:before="99"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稳定性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在建议的贮存条件下是稳定的。</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w w:val="95"/>
          <w:sz w:val="24"/>
          <w:szCs w:val="24"/>
        </w:rPr>
        <w:t>危险反应</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应避免的条件</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禁配物</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强氧化剂</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危险的分解产物</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 xml:space="preserve">在着火情况下，会分解生成有害物质。 </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pacing w:val="-4"/>
          <w:sz w:val="24"/>
          <w:szCs w:val="24"/>
        </w:rPr>
        <w:t xml:space="preserve">碳氧化物其他分解产物 </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z w:val="24"/>
          <w:szCs w:val="24"/>
        </w:rPr>
        <w:t>无数据资料</w:t>
      </w:r>
    </w:p>
    <w:p>
      <w:pPr>
        <w:spacing w:after="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當起火時:</w:t>
      </w:r>
      <w:r>
        <w:rPr>
          <w:rFonts w:hint="eastAsia" w:asciiTheme="minorEastAsia" w:hAnsiTheme="minorEastAsia" w:eastAsiaTheme="minorEastAsia" w:cstheme="minorEastAsia"/>
          <w:spacing w:val="-11"/>
          <w:sz w:val="24"/>
          <w:szCs w:val="24"/>
        </w:rPr>
        <w:t xml:space="preserve">見第 </w:t>
      </w:r>
      <w:r>
        <w:rPr>
          <w:rFonts w:hint="eastAsia" w:asciiTheme="minorEastAsia" w:hAnsiTheme="minorEastAsia" w:eastAsiaTheme="minorEastAsia" w:cstheme="minorEastAsia"/>
          <w:sz w:val="24"/>
          <w:szCs w:val="24"/>
        </w:rPr>
        <w:t>5 節滅火措施</w:t>
      </w:r>
    </w:p>
    <w:p>
      <w:pPr>
        <w:spacing w:after="0"/>
        <w:rPr>
          <w:rFonts w:hint="eastAsia" w:asciiTheme="minorEastAsia" w:hAnsiTheme="minorEastAsia" w:eastAsiaTheme="minorEastAsia" w:cstheme="minorEastAsia"/>
          <w:sz w:val="24"/>
          <w:szCs w:val="24"/>
        </w:rPr>
      </w:pPr>
    </w:p>
    <w:p>
      <w:pPr>
        <w:spacing w:before="111"/>
        <w:ind w:left="114" w:right="0" w:firstLine="0"/>
        <w:jc w:val="center"/>
        <w:rPr>
          <w:sz w:val="21"/>
        </w:rPr>
      </w:pPr>
      <w:r>
        <w:rPr>
          <w:rFonts w:hint="eastAsia" w:ascii="Times New Roman" w:hAnsi="Times New Roman" w:eastAsia="黑体" w:cs="Times New Roman"/>
          <w:sz w:val="32"/>
          <w:szCs w:val="32"/>
          <w:lang w:val="en-US" w:eastAsia="zh-CN" w:bidi="zh-CN"/>
        </w:rPr>
        <w:t>第 11 部分：毒理学信息</w:t>
      </w:r>
    </w:p>
    <w:p>
      <w:pPr>
        <w:pStyle w:val="7"/>
        <w:rPr>
          <w:sz w:val="16"/>
        </w:rPr>
      </w:pPr>
    </w:p>
    <w:p>
      <w:pPr>
        <w:pStyle w:val="4"/>
        <w:spacing w:line="360" w:lineRule="auto"/>
        <w:ind w:left="0" w:leftChars="0" w:firstLine="0" w:firstLineChars="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bCs/>
          <w:sz w:val="24"/>
          <w:szCs w:val="24"/>
        </w:rPr>
        <w:t>毒理学影响的信息</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急性毒性</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皮肤腐蚀/刺激</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严重眼睛损伤/眼刺激</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呼吸或皮肤过敏</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zh-CN" w:bidi="en-US"/>
        </w:rPr>
      </w:pPr>
      <w:r>
        <w:rPr>
          <w:rFonts w:hint="eastAsia" w:asciiTheme="minorEastAsia" w:hAnsiTheme="minorEastAsia" w:eastAsiaTheme="minorEastAsia" w:cstheme="minorEastAsia"/>
          <w:b/>
          <w:bCs/>
          <w:sz w:val="21"/>
          <w:szCs w:val="21"/>
          <w:lang w:val="en-US" w:eastAsia="zh-CN" w:bidi="en-US"/>
        </w:rPr>
        <w:t>生殖细胞致突变性</w:t>
      </w:r>
    </w:p>
    <w:p>
      <w:pPr>
        <w:spacing w:line="360" w:lineRule="auto"/>
        <w:rPr>
          <w:rFonts w:hint="eastAsia" w:asciiTheme="minorEastAsia" w:hAnsiTheme="minorEastAsia" w:eastAsiaTheme="minorEastAsia" w:cstheme="minorEastAsia"/>
          <w:b w:val="0"/>
          <w:bCs w:val="0"/>
          <w:sz w:val="21"/>
          <w:szCs w:val="21"/>
          <w:lang w:val="en-US" w:eastAsia="zh-CN" w:bidi="en-US"/>
        </w:rPr>
      </w:pPr>
      <w:r>
        <w:rPr>
          <w:rFonts w:hint="eastAsia" w:asciiTheme="minorEastAsia" w:hAnsiTheme="minorEastAsia" w:eastAsiaTheme="minorEastAsia" w:cstheme="minorEastAsia"/>
          <w:b w:val="0"/>
          <w:bCs w:val="0"/>
          <w:sz w:val="21"/>
          <w:szCs w:val="21"/>
          <w:lang w:val="en-US" w:eastAsia="zh-CN" w:bidi="en-US"/>
        </w:rPr>
        <w:t>无数据资料</w:t>
      </w:r>
    </w:p>
    <w:p>
      <w:pPr>
        <w:pStyle w:val="6"/>
        <w:spacing w:before="2" w:line="360" w:lineRule="auto"/>
        <w:ind w:left="0" w:leftChars="0" w:firstLine="0" w:firstLineChars="0"/>
        <w:rPr>
          <w:rFonts w:hint="eastAsia" w:asciiTheme="minorEastAsia" w:hAnsiTheme="minorEastAsia" w:eastAsiaTheme="minorEastAsia" w:cstheme="minorEastAsia"/>
          <w:b/>
          <w:bCs/>
          <w:sz w:val="21"/>
          <w:szCs w:val="21"/>
          <w:lang w:val="en-US" w:eastAsia="en-US" w:bidi="en-US"/>
        </w:rPr>
      </w:pPr>
      <w:r>
        <w:rPr>
          <w:rFonts w:hint="eastAsia" w:asciiTheme="minorEastAsia" w:hAnsiTheme="minorEastAsia" w:eastAsiaTheme="minorEastAsia" w:cstheme="minorEastAsia"/>
          <w:b/>
          <w:bCs/>
          <w:sz w:val="21"/>
          <w:szCs w:val="21"/>
          <w:lang w:val="en-US" w:eastAsia="en-US" w:bidi="en-US"/>
        </w:rPr>
        <w:t>致癌性</w:t>
      </w:r>
    </w:p>
    <w:p>
      <w:pPr>
        <w:spacing w:before="37" w:line="360" w:lineRule="auto"/>
        <w:ind w:right="594"/>
        <w:jc w:val="left"/>
        <w:rPr>
          <w:rFonts w:hint="eastAsia" w:asciiTheme="minorEastAsia" w:hAnsiTheme="minorEastAsia" w:eastAsiaTheme="minorEastAsia" w:cstheme="minorEastAsia"/>
          <w:b w:val="0"/>
          <w:bCs w:val="0"/>
          <w:sz w:val="21"/>
          <w:szCs w:val="21"/>
          <w:lang w:val="en-US" w:eastAsia="en-US" w:bidi="en-US"/>
        </w:rPr>
      </w:pPr>
      <w:r>
        <w:rPr>
          <w:rFonts w:hint="eastAsia" w:asciiTheme="minorEastAsia" w:hAnsiTheme="minorEastAsia" w:eastAsiaTheme="minorEastAsia" w:cstheme="minorEastAsia"/>
          <w:b w:val="0"/>
          <w:bCs w:val="0"/>
          <w:sz w:val="21"/>
          <w:szCs w:val="21"/>
          <w:lang w:val="en-US" w:eastAsia="en-US" w:bidi="en-US"/>
        </w:rPr>
        <w:t>IARC: No component of this product present at levels greater than or equal to 0.1% is identified as probable, possible or confirmed human carcinogen by IARC.</w:t>
      </w:r>
    </w:p>
    <w:p>
      <w:pPr>
        <w:spacing w:before="65" w:line="360" w:lineRule="auto"/>
        <w:ind w:right="0"/>
        <w:jc w:val="left"/>
        <w:rPr>
          <w:rFonts w:hint="eastAsia" w:asciiTheme="minorEastAsia" w:hAnsiTheme="minorEastAsia" w:eastAsiaTheme="minorEastAsia" w:cstheme="minorEastAsia"/>
          <w:b/>
          <w:bCs/>
          <w:sz w:val="21"/>
          <w:szCs w:val="21"/>
          <w:lang w:val="en-US" w:eastAsia="en-US" w:bidi="en-US"/>
        </w:rPr>
      </w:pPr>
      <w:r>
        <w:rPr>
          <w:rFonts w:hint="eastAsia" w:asciiTheme="minorEastAsia" w:hAnsiTheme="minorEastAsia" w:eastAsiaTheme="minorEastAsia" w:cstheme="minorEastAsia"/>
          <w:b/>
          <w:bCs/>
          <w:sz w:val="21"/>
          <w:szCs w:val="21"/>
          <w:lang w:val="en-US" w:eastAsia="en-US" w:bidi="en-US"/>
        </w:rPr>
        <w:t>附加说明</w:t>
      </w:r>
    </w:p>
    <w:p>
      <w:pPr>
        <w:pStyle w:val="7"/>
        <w:spacing w:before="137" w:line="360" w:lineRule="auto"/>
        <w:rPr>
          <w:rFonts w:hint="eastAsia" w:asciiTheme="minorEastAsia" w:hAnsiTheme="minorEastAsia" w:eastAsiaTheme="minorEastAsia" w:cstheme="minorEastAsia"/>
          <w:b w:val="0"/>
          <w:bCs w:val="0"/>
          <w:sz w:val="21"/>
          <w:szCs w:val="21"/>
          <w:lang w:val="en-US" w:eastAsia="en-US" w:bidi="en-US"/>
        </w:rPr>
      </w:pPr>
      <w:r>
        <w:rPr>
          <w:rFonts w:hint="eastAsia" w:asciiTheme="minorEastAsia" w:hAnsiTheme="minorEastAsia" w:eastAsiaTheme="minorEastAsia" w:cstheme="minorEastAsia"/>
          <w:b w:val="0"/>
          <w:bCs w:val="0"/>
          <w:sz w:val="21"/>
          <w:szCs w:val="21"/>
          <w:lang w:val="en-US" w:eastAsia="en-US" w:bidi="en-US"/>
        </w:rPr>
        <w:t>化学物质毒性作用登记 : 无数据资料</w:t>
      </w:r>
    </w:p>
    <w:p>
      <w:pPr>
        <w:spacing w:before="0"/>
        <w:ind w:right="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12 部分：生态学信息</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w w:val="95"/>
          <w:sz w:val="24"/>
          <w:szCs w:val="24"/>
        </w:rPr>
        <w:t>生态毒性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无数据资料</w:t>
      </w:r>
    </w:p>
    <w:p>
      <w:pPr>
        <w:pStyle w:val="4"/>
        <w:spacing w:before="1"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持久性和降解性</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生物蓄积潜力</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pStyle w:val="4"/>
        <w:spacing w:before="0"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土壤中的迁移性</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无数据资料</w:t>
      </w:r>
    </w:p>
    <w:p>
      <w:pPr>
        <w:spacing w:before="20" w:line="360" w:lineRule="auto"/>
        <w:ind w:right="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PBT和vPvB的结果评价</w:t>
      </w:r>
    </w:p>
    <w:p>
      <w:pPr>
        <w:spacing w:before="20" w:line="360" w:lineRule="auto"/>
        <w:ind w:right="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由于化学品安全评估未要求/未开展，因此 PBT/vPvB 评估不可用</w:t>
      </w:r>
    </w:p>
    <w:p>
      <w:pPr>
        <w:spacing w:before="20" w:line="360" w:lineRule="auto"/>
        <w:ind w:right="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其他环境有害作用</w:t>
      </w:r>
    </w:p>
    <w:p>
      <w:pPr>
        <w:pStyle w:val="7"/>
        <w:spacing w:line="360" w:lineRule="auto"/>
        <w:rPr>
          <w:rFonts w:hint="eastAsia" w:ascii="黑体" w:hAnsi="黑体" w:eastAsia="黑体" w:cs="黑体"/>
          <w:b w:val="0"/>
          <w:bCs w:val="0"/>
          <w:sz w:val="32"/>
          <w:szCs w:val="32"/>
          <w:lang w:val="en-US" w:eastAsia="en-US" w:bidi="en-US"/>
        </w:rPr>
      </w:pPr>
      <w:r>
        <w:rPr>
          <w:rFonts w:hint="eastAsia" w:asciiTheme="minorEastAsia" w:hAnsiTheme="minorEastAsia" w:eastAsiaTheme="minorEastAsia" w:cstheme="minorEastAsia"/>
          <w:sz w:val="24"/>
          <w:szCs w:val="24"/>
        </w:rPr>
        <w:t>无数据资</w:t>
      </w:r>
      <w:r>
        <w:rPr>
          <w:rFonts w:hint="eastAsia" w:asciiTheme="minorEastAsia" w:hAnsiTheme="minorEastAsia" w:eastAsiaTheme="minorEastAsia" w:cstheme="minorEastAsia"/>
          <w:sz w:val="24"/>
          <w:szCs w:val="24"/>
          <w:lang w:val="en-US" w:eastAsia="zh-CN"/>
        </w:rPr>
        <w:t>料</w:t>
      </w:r>
    </w:p>
    <w:p>
      <w:pPr>
        <w:spacing w:before="0"/>
        <w:ind w:right="0"/>
        <w:jc w:val="center"/>
        <w:rPr>
          <w:rFonts w:hint="eastAsia" w:ascii="黑体" w:hAnsi="黑体" w:eastAsia="黑体" w:cs="黑体"/>
          <w:b w:val="0"/>
          <w:bCs w:val="0"/>
          <w:sz w:val="32"/>
          <w:szCs w:val="32"/>
          <w:lang w:val="en-US" w:eastAsia="en-US" w:bidi="en-US"/>
        </w:rPr>
      </w:pP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13 部分：废弃处置</w:t>
      </w:r>
    </w:p>
    <w:p>
      <w:pPr>
        <w:pStyle w:val="7"/>
        <w:spacing w:before="3"/>
        <w:rPr>
          <w:rFonts w:hint="eastAsia" w:asciiTheme="minorEastAsia" w:hAnsiTheme="minorEastAsia" w:eastAsiaTheme="minorEastAsia" w:cstheme="minorEastAsia"/>
        </w:rPr>
      </w:pP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废物处理方法</w:t>
      </w: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产品</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将剩余的和不可回收的交由有许可证的公司处理</w:t>
      </w:r>
    </w:p>
    <w:p>
      <w:pPr>
        <w:spacing w:before="0" w:line="360" w:lineRule="auto"/>
        <w:ind w:right="0"/>
        <w:jc w:val="left"/>
        <w:rPr>
          <w:rFonts w:hint="eastAsia" w:asciiTheme="minorEastAsia" w:hAnsiTheme="minorEastAsia" w:eastAsiaTheme="minorEastAsia" w:cstheme="minorEastAsia"/>
          <w:b/>
          <w:bCs/>
          <w:color w:val="333333"/>
          <w:sz w:val="24"/>
          <w:szCs w:val="24"/>
          <w:lang w:val="en-US" w:eastAsia="zh-CN"/>
        </w:rPr>
      </w:pPr>
      <w:r>
        <w:rPr>
          <w:rFonts w:hint="eastAsia" w:asciiTheme="minorEastAsia" w:hAnsiTheme="minorEastAsia" w:eastAsiaTheme="minorEastAsia" w:cstheme="minorEastAsia"/>
          <w:b/>
          <w:bCs/>
          <w:color w:val="333333"/>
          <w:sz w:val="24"/>
          <w:szCs w:val="24"/>
          <w:lang w:val="en-US" w:eastAsia="zh-CN"/>
        </w:rPr>
        <w:t>污染包装物</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color w:val="333333"/>
          <w:sz w:val="24"/>
          <w:szCs w:val="24"/>
          <w:lang w:val="en-US" w:eastAsia="zh-CN"/>
        </w:rPr>
        <w:t>按未用产品处置</w:t>
      </w:r>
    </w:p>
    <w:p>
      <w:pPr>
        <w:spacing w:before="0"/>
        <w:ind w:right="0"/>
        <w:jc w:val="center"/>
        <w:rPr>
          <w:rFonts w:hint="eastAsia" w:ascii="黑体" w:hAnsi="黑体" w:eastAsia="黑体" w:cs="黑体"/>
          <w:b w:val="0"/>
          <w:bCs w:val="0"/>
          <w:sz w:val="32"/>
          <w:szCs w:val="32"/>
          <w:lang w:val="en-US" w:eastAsia="en-US" w:bidi="en-US"/>
        </w:rPr>
      </w:pPr>
      <w:r>
        <w:rPr>
          <w:rFonts w:hint="eastAsia" w:ascii="黑体" w:hAnsi="黑体" w:eastAsia="黑体" w:cs="黑体"/>
          <w:b w:val="0"/>
          <w:bCs w:val="0"/>
          <w:sz w:val="32"/>
          <w:szCs w:val="32"/>
          <w:lang w:val="en-US" w:eastAsia="en-US" w:bidi="en-US"/>
        </w:rPr>
        <w:t>第 14 部分：运输信息</w:t>
      </w:r>
    </w:p>
    <w:p>
      <w:pPr>
        <w:spacing w:before="66"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联合国编号 / UN number</w:t>
      </w:r>
    </w:p>
    <w:p>
      <w:pPr>
        <w:spacing w:before="137"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spacing w:before="135"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联合国运输名称 / UN proper shipping name</w:t>
      </w:r>
    </w:p>
    <w:p>
      <w:pPr>
        <w:pStyle w:val="7"/>
        <w:spacing w:before="13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非危险货物</w:t>
      </w:r>
    </w:p>
    <w:p>
      <w:pPr>
        <w:spacing w:before="69"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ADR/RID: 非危险货物 国际海运危规 : 非危险货物</w:t>
      </w:r>
    </w:p>
    <w:p>
      <w:pPr>
        <w:pStyle w:val="5"/>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IMDG: Not dangerous goods</w:t>
      </w:r>
    </w:p>
    <w:p>
      <w:pPr>
        <w:pStyle w:val="7"/>
        <w:spacing w:before="75"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国际空运危规 : 非危险货物</w:t>
      </w:r>
    </w:p>
    <w:p>
      <w:pPr>
        <w:pStyle w:val="5"/>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IATA-DGR: Not dangerous goods</w:t>
      </w:r>
    </w:p>
    <w:p>
      <w:pPr>
        <w:spacing w:before="141"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运输危险类别 / Transport hazard class(es)</w:t>
      </w:r>
    </w:p>
    <w:p>
      <w:pPr>
        <w:spacing w:before="137"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spacing w:before="136" w:line="360" w:lineRule="auto"/>
        <w:ind w:left="109"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包裹组 / Packaging group</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欧洲陆运危规 / ADR/RID: - 国际海运危规 / IMDG: - 国际空运危规 / IATA-DGR: -</w:t>
      </w:r>
    </w:p>
    <w:p>
      <w:pPr>
        <w:pStyle w:val="3"/>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环境危害 / Environmental hazards</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ADR/RID 欧洲负责公路运输的机构/欧洲负责铁路运输的机构 : 否</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国际海运危险货物规则 (IMDG)海洋污染物（是/否） : 否</w:t>
      </w:r>
    </w:p>
    <w:p>
      <w:pPr>
        <w:spacing w:before="136" w:line="360" w:lineRule="auto"/>
        <w:ind w:left="114"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国际空运危规 : 否</w:t>
      </w:r>
    </w:p>
    <w:p>
      <w:pPr>
        <w:pStyle w:val="3"/>
        <w:spacing w:before="135"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特殊防范措施 / Special precautions for user</w:t>
      </w:r>
    </w:p>
    <w:p>
      <w:pPr>
        <w:pStyle w:val="7"/>
        <w:spacing w:before="147" w:line="360" w:lineRule="auto"/>
        <w:ind w:left="114" w:right="57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w w:val="95"/>
          <w:sz w:val="24"/>
          <w:szCs w:val="24"/>
        </w:rPr>
        <w:t>请根据化学品性质选择合适的运输工具及相应的运输储存条件。运输工具应配备相应品种和数量的消防材料及泄露应急处理设备。如选择公路运输，请按规定路</w:t>
      </w:r>
      <w:r>
        <w:rPr>
          <w:rFonts w:hint="eastAsia" w:asciiTheme="minorEastAsia" w:hAnsiTheme="minorEastAsia" w:eastAsiaTheme="minorEastAsia" w:cstheme="minorEastAsia"/>
          <w:spacing w:val="-1"/>
          <w:sz w:val="24"/>
          <w:szCs w:val="24"/>
        </w:rPr>
        <w:t>线行驶。</w:t>
      </w:r>
    </w:p>
    <w:p>
      <w:pPr>
        <w:pStyle w:val="3"/>
        <w:spacing w:before="57"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禁配物 / Incompatible materials</w:t>
      </w:r>
    </w:p>
    <w:p>
      <w:pPr>
        <w:pStyle w:val="7"/>
        <w:spacing w:before="147" w:line="36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强氧化剂</w:t>
      </w:r>
    </w:p>
    <w:p>
      <w:pPr>
        <w:spacing w:before="0"/>
        <w:ind w:left="114" w:right="0" w:firstLine="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15 部分：法规信息</w:t>
      </w:r>
    </w:p>
    <w:p>
      <w:pPr>
        <w:pStyle w:val="4"/>
        <w:spacing w:line="36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专门对此物质或混合物的安全，健康和环境的规章 / 法规适用法规</w:t>
      </w:r>
    </w:p>
    <w:p>
      <w:pPr>
        <w:spacing w:line="360" w:lineRule="auto"/>
        <w:rPr>
          <w:rFonts w:hint="default" w:eastAsia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中华人民共和国职业病防治法</w:t>
      </w:r>
    </w:p>
    <w:p>
      <w:pPr>
        <w:spacing w:line="360" w:lineRule="auto"/>
        <w:rPr>
          <w:rFonts w:hint="default" w:asciiTheme="minorEastAsia" w:hAnsiTheme="minorEastAsia" w:eastAsiaTheme="minorEastAsia" w:cstheme="minorEastAsia"/>
          <w:b w:val="0"/>
          <w:bCs/>
          <w:spacing w:val="6"/>
          <w:sz w:val="24"/>
          <w:szCs w:val="24"/>
          <w:lang w:val="en-US"/>
        </w:rPr>
      </w:pPr>
      <w:r>
        <w:rPr>
          <w:rFonts w:hint="eastAsia" w:asciiTheme="minorEastAsia" w:hAnsiTheme="minorEastAsia" w:eastAsiaTheme="minorEastAsia" w:cstheme="minorEastAsia"/>
          <w:sz w:val="24"/>
          <w:szCs w:val="24"/>
        </w:rPr>
        <w:t>职业病危害因素分类目录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未列入</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危险化学品安全管理条例</w:t>
      </w:r>
    </w:p>
    <w:p>
      <w:pPr>
        <w:pStyle w:val="7"/>
        <w:spacing w:line="360" w:lineRule="auto"/>
        <w:rPr>
          <w:rFonts w:hint="eastAsia" w:asciiTheme="minorEastAsia" w:hAnsiTheme="minorEastAsia" w:eastAsiaTheme="minorEastAsia" w:cstheme="minorEastAsia"/>
          <w:w w:val="95"/>
          <w:sz w:val="24"/>
          <w:szCs w:val="24"/>
          <w:lang w:val="en-US" w:eastAsia="zh-CN"/>
        </w:rPr>
      </w:pPr>
      <w:r>
        <w:rPr>
          <w:rFonts w:hint="eastAsia" w:asciiTheme="minorEastAsia" w:hAnsiTheme="minorEastAsia" w:eastAsiaTheme="minorEastAsia" w:cstheme="minorEastAsia"/>
          <w:w w:val="95"/>
          <w:sz w:val="24"/>
          <w:szCs w:val="24"/>
        </w:rPr>
        <w:t>危险品化学品目录（2018）</w:t>
      </w:r>
      <w:r>
        <w:rPr>
          <w:rFonts w:hint="eastAsia" w:asciiTheme="minorEastAsia" w:hAnsiTheme="minorEastAsia" w:eastAsiaTheme="minorEastAsia" w:cstheme="minorEastAsia"/>
          <w:spacing w:val="18"/>
          <w:w w:val="95"/>
          <w:sz w:val="24"/>
          <w:szCs w:val="24"/>
        </w:rPr>
        <w:t xml:space="preserve">: </w:t>
      </w:r>
      <w:r>
        <w:rPr>
          <w:rFonts w:hint="eastAsia" w:asciiTheme="minorEastAsia" w:hAnsiTheme="minorEastAsia" w:eastAsiaTheme="minorEastAsia" w:cstheme="minorEastAsia"/>
          <w:w w:val="95"/>
          <w:sz w:val="24"/>
          <w:szCs w:val="24"/>
        </w:rPr>
        <w:t>未列</w:t>
      </w:r>
      <w:r>
        <w:rPr>
          <w:rFonts w:hint="eastAsia" w:asciiTheme="minorEastAsia" w:hAnsiTheme="minorEastAsia" w:eastAsiaTheme="minorEastAsia" w:cstheme="minorEastAsia"/>
          <w:w w:val="95"/>
          <w:sz w:val="24"/>
          <w:szCs w:val="24"/>
          <w:lang w:val="en-US" w:eastAsia="zh-CN"/>
        </w:rPr>
        <w:t>入</w:t>
      </w:r>
    </w:p>
    <w:p>
      <w:pPr>
        <w:pStyle w:val="7"/>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pacing w:val="8"/>
          <w:sz w:val="24"/>
          <w:szCs w:val="24"/>
        </w:rPr>
        <w:t>危险化学品环境管理登记办法</w:t>
      </w:r>
    </w:p>
    <w:p>
      <w:pPr>
        <w:pStyle w:val="7"/>
        <w:spacing w:line="360" w:lineRule="auto"/>
        <w:rPr>
          <w:rFonts w:hint="eastAsia" w:asciiTheme="minorEastAsia" w:hAnsiTheme="minorEastAsia" w:eastAsiaTheme="minorEastAsia" w:cstheme="minorEastAsia"/>
          <w:w w:val="95"/>
          <w:sz w:val="24"/>
          <w:szCs w:val="24"/>
        </w:rPr>
      </w:pPr>
      <w:r>
        <w:rPr>
          <w:rFonts w:hint="eastAsia" w:asciiTheme="minorEastAsia" w:hAnsiTheme="minorEastAsia" w:eastAsiaTheme="minorEastAsia" w:cstheme="minorEastAsia"/>
          <w:w w:val="95"/>
          <w:sz w:val="24"/>
          <w:szCs w:val="24"/>
        </w:rPr>
        <w:t>重点环境管理危险化学品目录（2014）</w:t>
      </w:r>
      <w:r>
        <w:rPr>
          <w:rFonts w:hint="eastAsia" w:asciiTheme="minorEastAsia" w:hAnsiTheme="minorEastAsia" w:eastAsiaTheme="minorEastAsia" w:cstheme="minorEastAsia"/>
          <w:spacing w:val="7"/>
          <w:w w:val="95"/>
          <w:sz w:val="24"/>
          <w:szCs w:val="24"/>
        </w:rPr>
        <w:t xml:space="preserve">: </w:t>
      </w:r>
      <w:r>
        <w:rPr>
          <w:rFonts w:hint="eastAsia" w:asciiTheme="minorEastAsia" w:hAnsiTheme="minorEastAsia" w:eastAsiaTheme="minorEastAsia" w:cstheme="minorEastAsia"/>
          <w:w w:val="95"/>
          <w:sz w:val="24"/>
          <w:szCs w:val="24"/>
        </w:rPr>
        <w:t>未列入</w:t>
      </w:r>
    </w:p>
    <w:p>
      <w:pPr>
        <w:pStyle w:val="7"/>
        <w:spacing w:line="360" w:lineRule="auto"/>
        <w:rPr>
          <w:rFonts w:hint="eastAsia" w:asciiTheme="minorEastAsia" w:hAnsiTheme="minorEastAsia" w:eastAsiaTheme="minorEastAsia" w:cstheme="minorEastAsia"/>
          <w:b/>
          <w:spacing w:val="8"/>
          <w:sz w:val="24"/>
          <w:szCs w:val="24"/>
        </w:rPr>
      </w:pPr>
      <w:r>
        <w:rPr>
          <w:rFonts w:hint="eastAsia" w:asciiTheme="minorEastAsia" w:hAnsiTheme="minorEastAsia" w:eastAsiaTheme="minorEastAsia" w:cstheme="minorEastAsia"/>
          <w:b/>
          <w:spacing w:val="8"/>
          <w:sz w:val="24"/>
          <w:szCs w:val="24"/>
        </w:rPr>
        <w:t>麻醉药品和精神药品管理条例</w:t>
      </w:r>
    </w:p>
    <w:p>
      <w:pPr>
        <w:pStyle w:val="7"/>
        <w:spacing w:line="360" w:lineRule="auto"/>
        <w:rPr>
          <w:rFonts w:hint="eastAsia" w:asciiTheme="minorEastAsia" w:hAnsiTheme="minorEastAsia" w:eastAsiaTheme="minorEastAsia" w:cstheme="minorEastAsia"/>
          <w:w w:val="95"/>
          <w:sz w:val="24"/>
          <w:szCs w:val="24"/>
        </w:rPr>
      </w:pPr>
      <w:r>
        <w:rPr>
          <w:rFonts w:hint="eastAsia" w:asciiTheme="minorEastAsia" w:hAnsiTheme="minorEastAsia" w:eastAsiaTheme="minorEastAsia" w:cstheme="minorEastAsia"/>
          <w:w w:val="95"/>
          <w:sz w:val="24"/>
          <w:szCs w:val="24"/>
        </w:rPr>
        <w:t>麻醉药品品种目录（2013）: 未列入精神药品品种目录（2013）: 未列入</w:t>
      </w:r>
    </w:p>
    <w:p>
      <w:pPr>
        <w:pStyle w:val="7"/>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新化学物质环境管理办法</w:t>
      </w:r>
    </w:p>
    <w:p>
      <w:pPr>
        <w:pStyle w:val="7"/>
        <w:spacing w:line="360" w:lineRule="auto"/>
        <w:rPr>
          <w:rFonts w:hint="eastAsia" w:asciiTheme="minorEastAsia" w:hAnsiTheme="minorEastAsia" w:eastAsiaTheme="minorEastAsia" w:cstheme="minorEastAsia"/>
          <w:w w:val="95"/>
          <w:sz w:val="24"/>
          <w:szCs w:val="24"/>
          <w:lang w:val="en-US" w:eastAsia="zh-CN"/>
        </w:rPr>
      </w:pPr>
      <w:r>
        <w:rPr>
          <w:rFonts w:hint="eastAsia" w:asciiTheme="minorEastAsia" w:hAnsiTheme="minorEastAsia" w:eastAsiaTheme="minorEastAsia" w:cstheme="minorEastAsia"/>
          <w:w w:val="95"/>
          <w:sz w:val="24"/>
          <w:szCs w:val="24"/>
        </w:rPr>
        <w:t>中国现有化学物质名录: 未列</w:t>
      </w:r>
      <w:r>
        <w:rPr>
          <w:rFonts w:hint="eastAsia" w:asciiTheme="minorEastAsia" w:hAnsiTheme="minorEastAsia" w:eastAsiaTheme="minorEastAsia" w:cstheme="minorEastAsia"/>
          <w:w w:val="95"/>
          <w:sz w:val="24"/>
          <w:szCs w:val="24"/>
          <w:lang w:val="en-US" w:eastAsia="zh-CN"/>
        </w:rPr>
        <w:t>入</w:t>
      </w:r>
    </w:p>
    <w:p>
      <w:pPr>
        <w:pStyle w:val="7"/>
        <w:spacing w:line="360" w:lineRule="auto"/>
        <w:rPr>
          <w:rFonts w:hint="eastAsia" w:asciiTheme="minorEastAsia" w:hAnsiTheme="minorEastAsia" w:eastAsiaTheme="minorEastAsia" w:cstheme="minorEastAsia"/>
          <w:b/>
          <w:bCs/>
          <w:w w:val="95"/>
          <w:sz w:val="24"/>
          <w:szCs w:val="24"/>
          <w:lang w:val="en-US" w:eastAsia="zh-CN"/>
        </w:rPr>
      </w:pPr>
      <w:r>
        <w:rPr>
          <w:rFonts w:hint="eastAsia" w:asciiTheme="minorEastAsia" w:hAnsiTheme="minorEastAsia" w:eastAsiaTheme="minorEastAsia" w:cstheme="minorEastAsia"/>
          <w:b/>
          <w:bCs/>
          <w:w w:val="95"/>
          <w:sz w:val="24"/>
          <w:szCs w:val="24"/>
          <w:lang w:val="en-US" w:eastAsia="zh-CN"/>
        </w:rPr>
        <w:t>其他规定</w:t>
      </w:r>
    </w:p>
    <w:p>
      <w:pPr>
        <w:pStyle w:val="7"/>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请注意废物处理也应该满足当地法规的要求。</w:t>
      </w:r>
    </w:p>
    <w:p>
      <w:pPr>
        <w:spacing w:before="0"/>
        <w:ind w:right="0"/>
        <w:jc w:val="center"/>
        <w:rPr>
          <w:rFonts w:hint="eastAsia" w:asciiTheme="minorEastAsia" w:hAnsiTheme="minorEastAsia" w:eastAsiaTheme="minorEastAsia" w:cstheme="minorEastAsia"/>
          <w:sz w:val="21"/>
        </w:rPr>
      </w:pPr>
      <w:r>
        <w:rPr>
          <w:rFonts w:hint="eastAsia" w:ascii="黑体" w:hAnsi="黑体" w:eastAsia="黑体" w:cs="黑体"/>
          <w:b w:val="0"/>
          <w:bCs w:val="0"/>
          <w:sz w:val="32"/>
          <w:szCs w:val="32"/>
          <w:lang w:val="en-US" w:eastAsia="en-US" w:bidi="en-US"/>
        </w:rPr>
        <w:t>第 16 部分：其他信息</w:t>
      </w:r>
    </w:p>
    <w:p>
      <w:pPr>
        <w:pStyle w:val="4"/>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参考文献</w:t>
      </w:r>
    </w:p>
    <w:p>
      <w:pPr>
        <w:spacing w:before="137"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【1】国际化学品安全规划署：国际化学品安全卡（ICSC），网址：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"http://www.ilo.org/dyn/icsc/showcard.home"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http://www.ilo.org/dyn/icsc/showcard.home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【2】国际癌症研究机构，网址：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"http://www.iarc.fr/"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http://www.iarc.fr/</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【3】OECD 全球化学品信息平台，网址：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"http://www.echemportal.org/echemportal/index?pageID=0&amp;amp;request_locale=en"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http://www.echemportal.org/echemportal/index?pageID=0&amp;request_locale=en</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【4】美国 CAMEO 化学物质数据库，网址：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"http://cameochemicals.noaa.gov/search/simple"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http://cameochemicals.noaa.gov/search/simple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【5】美国医学图书馆:化学品标识数据库，网址：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"http://chem.sis.nlm.nih.gov/chemidplus/chemidlite.jsp"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http://chem.sis.nlm.nih.gov/chemidplus/chemidlite.jsp</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70"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【6】美国环境保护署：综合危险性信息系统，网址：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"http://cfpub.epa.gov/iris/"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http://cfpub.epa.gov/iris/</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【7】美国交通部：应急响应指南，网址：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"http://www.phmsa.dot.gov/hazmat/library/erg"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http://www.phmsa.dot.gov/hazmat/library/erg</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spacing w:before="69" w:line="360" w:lineRule="auto"/>
        <w:ind w:left="114" w:right="0"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【8】德国GESTIS-有害物质数据库，网址：</w:t>
      </w:r>
      <w:r>
        <w:rPr>
          <w:rFonts w:hint="eastAsia" w:asciiTheme="minorAscii" w:hAnsiTheme="minorEastAsia" w:eastAsiaTheme="minorEastAsia" w:cstheme="minorEastAsia"/>
          <w:sz w:val="21"/>
          <w:szCs w:val="21"/>
        </w:rPr>
        <w:fldChar w:fldCharType="begin"/>
      </w:r>
      <w:r>
        <w:rPr>
          <w:rFonts w:hint="eastAsia" w:asciiTheme="minorAscii" w:hAnsiTheme="minorEastAsia" w:eastAsiaTheme="minorEastAsia" w:cstheme="minorEastAsia"/>
          <w:sz w:val="21"/>
          <w:szCs w:val="21"/>
        </w:rPr>
        <w:instrText xml:space="preserve"> HYPERLINK "http://gestis-en.itrust.de/" \h </w:instrText>
      </w:r>
      <w:r>
        <w:rPr>
          <w:rFonts w:hint="eastAsia" w:asciiTheme="minorAscii" w:hAnsiTheme="minorEastAsia" w:eastAsiaTheme="minorEastAsia" w:cstheme="minorEastAsia"/>
          <w:sz w:val="21"/>
          <w:szCs w:val="21"/>
        </w:rPr>
        <w:fldChar w:fldCharType="separate"/>
      </w:r>
      <w:r>
        <w:rPr>
          <w:rFonts w:hint="eastAsia" w:asciiTheme="minorAscii" w:hAnsiTheme="minorEastAsia" w:eastAsiaTheme="minorEastAsia" w:cstheme="minorEastAsia"/>
          <w:sz w:val="21"/>
          <w:szCs w:val="21"/>
        </w:rPr>
        <w:t>http://gestis-en.itrust.de/</w:t>
      </w:r>
      <w:r>
        <w:rPr>
          <w:rFonts w:hint="eastAsia" w:asciiTheme="minorAscii"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w:t>
      </w:r>
    </w:p>
    <w:p>
      <w:pPr>
        <w:pStyle w:val="5"/>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【9】</w:t>
      </w:r>
      <w:r>
        <w:rPr>
          <w:rFonts w:hint="eastAsia" w:asciiTheme="minorAscii" w:hAnsiTheme="minorEastAsia" w:eastAsiaTheme="minorEastAsia" w:cstheme="minorEastAsia"/>
          <w:sz w:val="21"/>
          <w:szCs w:val="21"/>
          <w:lang w:val="en-US" w:eastAsia="en-US" w:bidi="en-US"/>
        </w:rPr>
        <w:t>Sigma-Aldrich</w:t>
      </w:r>
      <w:r>
        <w:rPr>
          <w:rFonts w:hint="eastAsia" w:asciiTheme="minorEastAsia" w:hAnsiTheme="minorEastAsia" w:eastAsiaTheme="minorEastAsia" w:cstheme="minorEastAsia"/>
          <w:sz w:val="21"/>
          <w:szCs w:val="21"/>
        </w:rPr>
        <w:t>，网址：</w:t>
      </w:r>
      <w:r>
        <w:rPr>
          <w:rFonts w:hint="eastAsia" w:asciiTheme="minorAscii" w:hAnsiTheme="minorEastAsia" w:eastAsiaTheme="minorEastAsia" w:cstheme="minorEastAsia"/>
          <w:sz w:val="21"/>
          <w:szCs w:val="21"/>
          <w:lang w:val="en-US" w:eastAsia="en-US" w:bidi="en-US"/>
        </w:rPr>
        <w:t>https://</w:t>
      </w:r>
      <w:r>
        <w:rPr>
          <w:rFonts w:hint="eastAsia" w:asciiTheme="minorAscii" w:hAnsiTheme="minorEastAsia" w:eastAsiaTheme="minorEastAsia" w:cstheme="minorEastAsia"/>
          <w:sz w:val="21"/>
          <w:szCs w:val="21"/>
          <w:lang w:val="en-US" w:eastAsia="en-US" w:bidi="en-US"/>
        </w:rPr>
        <w:fldChar w:fldCharType="begin"/>
      </w:r>
      <w:r>
        <w:rPr>
          <w:rFonts w:hint="eastAsia" w:asciiTheme="minorAscii" w:hAnsiTheme="minorEastAsia" w:eastAsiaTheme="minorEastAsia" w:cstheme="minorEastAsia"/>
          <w:sz w:val="21"/>
          <w:szCs w:val="21"/>
          <w:lang w:val="en-US" w:eastAsia="en-US" w:bidi="en-US"/>
        </w:rPr>
        <w:instrText xml:space="preserve"> HYPERLINK "http://www.sigmaaldrich.com/" \h </w:instrText>
      </w:r>
      <w:r>
        <w:rPr>
          <w:rFonts w:hint="eastAsia" w:asciiTheme="minorAscii" w:hAnsiTheme="minorEastAsia" w:eastAsiaTheme="minorEastAsia" w:cstheme="minorEastAsia"/>
          <w:sz w:val="21"/>
          <w:szCs w:val="21"/>
          <w:lang w:val="en-US" w:eastAsia="en-US" w:bidi="en-US"/>
        </w:rPr>
        <w:fldChar w:fldCharType="separate"/>
      </w:r>
      <w:r>
        <w:rPr>
          <w:rFonts w:hint="eastAsia" w:asciiTheme="minorAscii" w:hAnsiTheme="minorEastAsia" w:eastAsiaTheme="minorEastAsia" w:cstheme="minorEastAsia"/>
          <w:sz w:val="21"/>
          <w:szCs w:val="21"/>
          <w:lang w:val="en-US" w:eastAsia="en-US" w:bidi="en-US"/>
        </w:rPr>
        <w:t>www.sigmaaldrich.com/</w:t>
      </w:r>
      <w:r>
        <w:rPr>
          <w:rFonts w:hint="eastAsia" w:asciiTheme="minorAscii" w:hAnsiTheme="minorEastAsia" w:eastAsiaTheme="minorEastAsia" w:cstheme="minorEastAsia"/>
          <w:sz w:val="21"/>
          <w:szCs w:val="21"/>
          <w:lang w:val="en-US" w:eastAsia="en-US" w:bidi="en-US"/>
        </w:rPr>
        <w:fldChar w:fldCharType="end"/>
      </w:r>
      <w:r>
        <w:rPr>
          <w:rFonts w:hint="eastAsia" w:asciiTheme="minorEastAsia" w:hAnsiTheme="minorEastAsia" w:eastAsiaTheme="minorEastAsia" w:cstheme="minorEastAsia"/>
          <w:sz w:val="21"/>
          <w:szCs w:val="21"/>
          <w:lang w:eastAsia="zh-CN"/>
        </w:rPr>
        <w:t>。</w:t>
      </w:r>
    </w:p>
    <w:p>
      <w:pPr>
        <w:spacing w:before="0" w:line="360" w:lineRule="auto"/>
        <w:ind w:right="0"/>
        <w:jc w:val="left"/>
        <w:rPr>
          <w:rFonts w:hint="eastAsia" w:asciiTheme="minorEastAsia" w:hAnsiTheme="minorEastAsia" w:eastAsiaTheme="minorEastAsia" w:cstheme="minorEastAsia"/>
          <w:color w:val="333333"/>
          <w:sz w:val="24"/>
          <w:szCs w:val="24"/>
          <w:lang w:val="en-US" w:eastAsia="zh-CN"/>
        </w:rPr>
      </w:pPr>
      <w:r>
        <w:rPr>
          <w:rFonts w:hint="eastAsia" w:asciiTheme="minorEastAsia" w:hAnsiTheme="minorEastAsia" w:eastAsiaTheme="minorEastAsia" w:cstheme="minorEastAsia"/>
          <w:b/>
          <w:bCs/>
          <w:sz w:val="24"/>
          <w:szCs w:val="24"/>
          <w:lang w:val="en-US" w:eastAsia="zh-CN"/>
        </w:rPr>
        <w:t>其他信息</w:t>
      </w:r>
    </w:p>
    <w:p>
      <w:pPr>
        <w:pStyle w:val="7"/>
        <w:spacing w:before="137" w:line="360" w:lineRule="auto"/>
        <w:rPr>
          <w:rFonts w:hint="eastAsia" w:asciiTheme="minorEastAsia" w:hAnsiTheme="minorEastAsia" w:eastAsiaTheme="minorEastAsia" w:cstheme="minorEastAsia"/>
          <w:b w:val="0"/>
          <w:bCs w:val="0"/>
          <w:sz w:val="21"/>
          <w:szCs w:val="21"/>
          <w:lang w:val="en-US" w:eastAsia="en-US" w:bidi="en-US"/>
        </w:rPr>
      </w:pPr>
    </w:p>
    <w:p>
      <w:pPr>
        <w:pStyle w:val="7"/>
      </w:pPr>
    </w:p>
    <w:p>
      <w:pPr>
        <w:pStyle w:val="7"/>
        <w:spacing w:before="3"/>
      </w:pPr>
    </w:p>
    <w:p>
      <w:pPr>
        <w:pStyle w:val="7"/>
      </w:pPr>
    </w:p>
    <w:p>
      <w:pPr>
        <w:pStyle w:val="7"/>
        <w:rPr>
          <w:sz w:val="16"/>
        </w:rPr>
      </w:pPr>
    </w:p>
    <w:p>
      <w:pPr>
        <w:pStyle w:val="7"/>
        <w:rPr>
          <w:sz w:val="16"/>
        </w:rPr>
      </w:pPr>
    </w:p>
    <w:p>
      <w:pPr>
        <w:pStyle w:val="7"/>
        <w:rPr>
          <w:sz w:val="16"/>
        </w:rPr>
      </w:pPr>
    </w:p>
    <w:p>
      <w:pPr>
        <w:pStyle w:val="7"/>
        <w:spacing w:before="3"/>
      </w:pPr>
    </w:p>
    <w:p>
      <w:pPr>
        <w:pStyle w:val="7"/>
        <w:spacing w:before="3"/>
      </w:pPr>
    </w:p>
    <w:p>
      <w:pPr>
        <w:pStyle w:val="7"/>
        <w:rPr>
          <w:rFonts w:ascii="Microsoft JhengHei"/>
          <w:b/>
          <w:sz w:val="16"/>
        </w:rPr>
      </w:pPr>
    </w:p>
    <w:p>
      <w:pPr>
        <w:pStyle w:val="7"/>
        <w:spacing w:before="3"/>
        <w:rPr>
          <w:rFonts w:ascii="Microsoft JhengHei"/>
          <w:b/>
          <w:sz w:val="19"/>
        </w:rPr>
      </w:pPr>
    </w:p>
    <w:p>
      <w:pPr>
        <w:pStyle w:val="7"/>
        <w:spacing w:line="201" w:lineRule="auto"/>
        <w:ind w:left="413" w:right="70"/>
      </w:pPr>
    </w:p>
    <w:sectPr>
      <w:headerReference r:id="rId3" w:type="default"/>
      <w:footerReference r:id="rId4" w:type="default"/>
      <w:pgSz w:w="11900" w:h="16840"/>
      <w:pgMar w:top="1440" w:right="1800" w:bottom="1440" w:left="1800" w:header="0" w:footer="66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w:panose1 w:val="020F0502020204030204"/>
    <w:charset w:val="86"/>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188224" behindDoc="1" locked="0" layoutInCell="1" allowOverlap="1">
              <wp:simplePos x="0" y="0"/>
              <wp:positionH relativeFrom="page">
                <wp:posOffset>3463925</wp:posOffset>
              </wp:positionH>
              <wp:positionV relativeFrom="page">
                <wp:posOffset>10133965</wp:posOffset>
              </wp:positionV>
              <wp:extent cx="629920" cy="125730"/>
              <wp:effectExtent l="0" t="0" r="0" b="0"/>
              <wp:wrapNone/>
              <wp:docPr id="2" name="文本框 3"/>
              <wp:cNvGraphicFramePr/>
              <a:graphic xmlns:a="http://schemas.openxmlformats.org/drawingml/2006/main">
                <a:graphicData uri="http://schemas.microsoft.com/office/word/2010/wordprocessingShape">
                  <wps:wsp>
                    <wps:cNvSpPr txBox="1"/>
                    <wps:spPr>
                      <a:xfrm>
                        <a:off x="0" y="0"/>
                        <a:ext cx="629920" cy="125730"/>
                      </a:xfrm>
                      <a:prstGeom prst="rect">
                        <a:avLst/>
                      </a:prstGeom>
                      <a:noFill/>
                      <a:ln>
                        <a:noFill/>
                      </a:ln>
                    </wps:spPr>
                    <wps:txbx>
                      <w:txbxContent>
                        <w:p>
                          <w:pPr>
                            <w:spacing w:before="1"/>
                            <w:ind w:left="20" w:right="0" w:firstLine="0"/>
                            <w:jc w:val="left"/>
                            <w:rPr>
                              <w:rFonts w:ascii="Arial"/>
                              <w:sz w:val="15"/>
                            </w:rPr>
                          </w:pPr>
                          <w:r>
                            <w:rPr>
                              <w:rFonts w:ascii="Arial"/>
                              <w:w w:val="95"/>
                              <w:sz w:val="15"/>
                            </w:rPr>
                            <w:t>Chemical Book</w:t>
                          </w:r>
                        </w:p>
                      </w:txbxContent>
                    </wps:txbx>
                    <wps:bodyPr lIns="0" tIns="0" rIns="0" bIns="0" upright="1"/>
                  </wps:wsp>
                </a:graphicData>
              </a:graphic>
            </wp:anchor>
          </w:drawing>
        </mc:Choice>
        <mc:Fallback>
          <w:pict>
            <v:shape id="文本框 3" o:spid="_x0000_s1026" o:spt="202" type="#_x0000_t202" style="position:absolute;left:0pt;margin-left:272.75pt;margin-top:797.95pt;height:9.9pt;width:49.6pt;mso-position-horizontal-relative:page;mso-position-vertical-relative:page;z-index:-252128256;mso-width-relative:page;mso-height-relative:page;" filled="f" stroked="f" coordsize="21600,21600" o:gfxdata="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w9W2HbAAAADQEAAA8AAAAA&#10;AAAAAQAgAAAAIgAAAGRycy9kb3ducmV2LnhtbFBLAQIUABQAAAAIAIdO4kCzjLx1nwEAACMDAAAO&#10;AAAAAAAAAAEAIAAAACoBAABkcnMvZTJvRG9jLnhtbFBLBQYAAAAABgAGAFkBAAA7BQAAAAA=&#10;">
              <v:fill on="f" focussize="0,0"/>
              <v:stroke on="f"/>
              <v:imagedata o:title=""/>
              <o:lock v:ext="edit" aspectratio="f"/>
              <v:textbox inset="0mm,0mm,0mm,0mm">
                <w:txbxContent>
                  <w:p>
                    <w:pPr>
                      <w:spacing w:before="1"/>
                      <w:ind w:left="20" w:right="0" w:firstLine="0"/>
                      <w:jc w:val="left"/>
                      <w:rPr>
                        <w:rFonts w:ascii="Arial"/>
                        <w:sz w:val="15"/>
                      </w:rPr>
                    </w:pPr>
                    <w:r>
                      <w:rPr>
                        <w:rFonts w:ascii="Arial"/>
                        <w:w w:val="95"/>
                        <w:sz w:val="15"/>
                      </w:rPr>
                      <w:t>Chemical Book</w:t>
                    </w:r>
                  </w:p>
                </w:txbxContent>
              </v:textbox>
            </v:shape>
          </w:pict>
        </mc:Fallback>
      </mc:AlternateContent>
    </w:r>
    <w:r>
      <mc:AlternateContent>
        <mc:Choice Requires="wps">
          <w:drawing>
            <wp:anchor distT="0" distB="0" distL="114300" distR="114300" simplePos="0" relativeHeight="251189248" behindDoc="1" locked="0" layoutInCell="1" allowOverlap="1">
              <wp:simplePos x="0" y="0"/>
              <wp:positionH relativeFrom="page">
                <wp:posOffset>7115810</wp:posOffset>
              </wp:positionH>
              <wp:positionV relativeFrom="page">
                <wp:posOffset>10133965</wp:posOffset>
              </wp:positionV>
              <wp:extent cx="100965" cy="12573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00965" cy="125730"/>
                      </a:xfrm>
                      <a:prstGeom prst="rect">
                        <a:avLst/>
                      </a:prstGeom>
                      <a:noFill/>
                      <a:ln>
                        <a:noFill/>
                      </a:ln>
                    </wps:spPr>
                    <wps:txbx>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文本框 4" o:spid="_x0000_s1026" o:spt="202" type="#_x0000_t202" style="position:absolute;left:0pt;margin-left:560.3pt;margin-top:797.95pt;height:9.9pt;width:7.95pt;mso-position-horizontal-relative:page;mso-position-vertical-relative:page;z-index:-252127232;mso-width-relative:page;mso-height-relative:page;" filled="f" stroked="f" coordsize="21600,21600" o:gfxdata="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RpnpnbAAAADwEAAA8AAAAA&#10;AAAAAQAgAAAAIgAAAGRycy9kb3ducmV2LnhtbFBLAQIUABQAAAAIAIdO4kCq5ZXNnwEAACMDAAAO&#10;AAAAAAAAAAEAIAAAACoBAABkcnMvZTJvRG9jLnhtbFBLBQYAAAAABgAGAFkBAAA7BQAAAAA=&#10;">
              <v:fill on="f" focussize="0,0"/>
              <v:stroke on="f"/>
              <v:imagedata o:title=""/>
              <o:lock v:ext="edit" aspectratio="f"/>
              <v:textbox inset="0mm,0mm,0mm,0mm">
                <w:txbxContent>
                  <w:p>
                    <w:pPr>
                      <w:spacing w:before="1"/>
                      <w:ind w:left="40" w:right="0" w:firstLine="0"/>
                      <w:jc w:val="left"/>
                      <w:rPr>
                        <w:rFonts w:ascii="Arial"/>
                        <w:sz w:val="15"/>
                      </w:rPr>
                    </w:pPr>
                    <w:r>
                      <w:fldChar w:fldCharType="begin"/>
                    </w:r>
                    <w:r>
                      <w:rPr>
                        <w:rFonts w:ascii="Arial"/>
                        <w:w w:val="93"/>
                        <w:sz w:val="15"/>
                      </w:rPr>
                      <w:instrText xml:space="preserve"> PAGE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center"/>
      <w:rPr>
        <w:rFonts w:hint="eastAsia"/>
        <w:b/>
        <w:sz w:val="36"/>
        <w:szCs w:val="36"/>
        <w:lang w:val="en-US" w:eastAsia="zh-CN"/>
      </w:rPr>
    </w:pPr>
    <w:r>
      <w:rPr>
        <w:rFonts w:hint="eastAsia"/>
        <w:b/>
        <w:sz w:val="36"/>
        <w:szCs w:val="36"/>
        <w:lang w:val="en-US" w:eastAsia="zh-CN"/>
      </w:rPr>
      <w:t xml:space="preserve">    </w:t>
    </w:r>
  </w:p>
  <w:p>
    <w:pPr>
      <w:pStyle w:val="9"/>
      <w:pBdr>
        <w:bottom w:val="none" w:color="auto" w:sz="0" w:space="0"/>
      </w:pBdr>
      <w:jc w:val="center"/>
      <w:rPr>
        <w:b/>
        <w:sz w:val="36"/>
        <w:szCs w:val="36"/>
      </w:rPr>
    </w:pPr>
    <w:r>
      <w:rPr>
        <w:rFonts w:hint="eastAsia"/>
        <w:b/>
        <w:sz w:val="36"/>
        <w:szCs w:val="36"/>
      </w:rPr>
      <w:drawing>
        <wp:anchor distT="0" distB="0" distL="114300" distR="114300" simplePos="0" relativeHeight="251659264" behindDoc="0" locked="0" layoutInCell="1" allowOverlap="1">
          <wp:simplePos x="0" y="0"/>
          <wp:positionH relativeFrom="margin">
            <wp:posOffset>131445</wp:posOffset>
          </wp:positionH>
          <wp:positionV relativeFrom="margin">
            <wp:posOffset>-708025</wp:posOffset>
          </wp:positionV>
          <wp:extent cx="933450" cy="657225"/>
          <wp:effectExtent l="0" t="0" r="0" b="9525"/>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武汉能迈科实业有限公司</w:t>
    </w:r>
  </w:p>
  <w:p>
    <w:pPr>
      <w:pStyle w:val="9"/>
      <w:pBdr>
        <w:bottom w:val="none" w:color="auto" w:sz="0" w:space="0"/>
      </w:pBdr>
      <w:ind w:firstLine="1807" w:firstLineChars="500"/>
      <w:rPr>
        <w:rFonts w:asciiTheme="minorAscii"/>
        <w:b/>
        <w:sz w:val="36"/>
        <w:szCs w:val="36"/>
      </w:rPr>
    </w:pPr>
    <w:bookmarkStart w:id="0" w:name="OLE_LINK1"/>
    <w:bookmarkStart w:id="1" w:name="OLE_LINK2"/>
    <w:r>
      <w:rPr>
        <w:rFonts w:hint="eastAsia" w:asciiTheme="minorAscii"/>
        <w:b/>
        <w:sz w:val="36"/>
        <w:szCs w:val="36"/>
      </w:rPr>
      <w:t xml:space="preserve">Wuhan </w:t>
    </w:r>
    <w:r>
      <w:rPr>
        <w:rFonts w:asciiTheme="minorAscii"/>
        <w:b/>
        <w:sz w:val="36"/>
        <w:szCs w:val="36"/>
      </w:rPr>
      <w:t xml:space="preserve">Landmark </w:t>
    </w:r>
    <w:r>
      <w:rPr>
        <w:rFonts w:hint="eastAsia" w:asciiTheme="minorAscii"/>
        <w:b/>
        <w:sz w:val="36"/>
        <w:szCs w:val="36"/>
      </w:rPr>
      <w:t>Industrial</w:t>
    </w:r>
    <w:r>
      <w:rPr>
        <w:rFonts w:asciiTheme="minorAscii"/>
        <w:b/>
        <w:sz w:val="36"/>
        <w:szCs w:val="36"/>
      </w:rPr>
      <w:t xml:space="preserve"> Co., L</w:t>
    </w:r>
    <w:bookmarkEnd w:id="0"/>
    <w:bookmarkEnd w:id="1"/>
    <w:r>
      <w:rPr>
        <w:rFonts w:hint="eastAsia" w:asciiTheme="minorAscii"/>
        <w:b/>
        <w:sz w:val="36"/>
        <w:szCs w:val="36"/>
      </w:rPr>
      <w:t>td.</w:t>
    </w:r>
  </w:p>
  <w:p>
    <w:pPr>
      <w:pStyle w:val="9"/>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9482F"/>
    <w:rsid w:val="518A4D0D"/>
    <w:rsid w:val="5B156E66"/>
    <w:rsid w:val="5F083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14"/>
      <w:outlineLvl w:val="1"/>
    </w:pPr>
    <w:rPr>
      <w:rFonts w:ascii="宋体" w:hAnsi="宋体" w:eastAsia="宋体" w:cs="宋体"/>
      <w:sz w:val="21"/>
      <w:szCs w:val="21"/>
      <w:lang w:val="zh-CN" w:eastAsia="zh-CN" w:bidi="zh-CN"/>
    </w:rPr>
  </w:style>
  <w:style w:type="paragraph" w:styleId="3">
    <w:name w:val="heading 2"/>
    <w:basedOn w:val="1"/>
    <w:next w:val="1"/>
    <w:qFormat/>
    <w:uiPriority w:val="1"/>
    <w:pPr>
      <w:spacing w:before="136"/>
      <w:ind w:left="109"/>
      <w:outlineLvl w:val="2"/>
    </w:pPr>
    <w:rPr>
      <w:rFonts w:ascii="Arial" w:hAnsi="Arial" w:eastAsia="Arial" w:cs="Arial"/>
      <w:b/>
      <w:bCs/>
      <w:sz w:val="19"/>
      <w:szCs w:val="19"/>
      <w:lang w:val="zh-CN" w:eastAsia="zh-CN" w:bidi="zh-CN"/>
    </w:rPr>
  </w:style>
  <w:style w:type="paragraph" w:styleId="4">
    <w:name w:val="heading 3"/>
    <w:basedOn w:val="1"/>
    <w:next w:val="1"/>
    <w:qFormat/>
    <w:uiPriority w:val="1"/>
    <w:pPr>
      <w:spacing w:before="66"/>
      <w:ind w:left="109"/>
      <w:outlineLvl w:val="3"/>
    </w:pPr>
    <w:rPr>
      <w:rFonts w:ascii="Microsoft JhengHei" w:hAnsi="Microsoft JhengHei" w:eastAsia="Microsoft JhengHei" w:cs="Microsoft JhengHei"/>
      <w:b/>
      <w:bCs/>
      <w:sz w:val="16"/>
      <w:szCs w:val="16"/>
      <w:lang w:val="zh-CN" w:eastAsia="zh-CN" w:bidi="zh-CN"/>
    </w:rPr>
  </w:style>
  <w:style w:type="paragraph" w:styleId="5">
    <w:name w:val="heading 4"/>
    <w:basedOn w:val="1"/>
    <w:next w:val="1"/>
    <w:qFormat/>
    <w:uiPriority w:val="1"/>
    <w:pPr>
      <w:spacing w:before="69"/>
      <w:ind w:left="114"/>
      <w:outlineLvl w:val="4"/>
    </w:pPr>
    <w:rPr>
      <w:rFonts w:ascii="Arial" w:hAnsi="Arial" w:eastAsia="Arial" w:cs="Arial"/>
      <w:sz w:val="16"/>
      <w:szCs w:val="16"/>
      <w:lang w:val="zh-CN" w:eastAsia="zh-CN" w:bidi="zh-CN"/>
    </w:rPr>
  </w:style>
  <w:style w:type="paragraph" w:styleId="6">
    <w:name w:val="heading 5"/>
    <w:basedOn w:val="1"/>
    <w:next w:val="1"/>
    <w:qFormat/>
    <w:uiPriority w:val="1"/>
    <w:pPr>
      <w:ind w:left="109"/>
      <w:outlineLvl w:val="5"/>
    </w:pPr>
    <w:rPr>
      <w:rFonts w:ascii="Microsoft JhengHei" w:hAnsi="Microsoft JhengHei" w:eastAsia="Microsoft JhengHei" w:cs="Microsoft JhengHei"/>
      <w:b/>
      <w:bCs/>
      <w:sz w:val="14"/>
      <w:szCs w:val="14"/>
      <w:lang w:val="zh-CN" w:eastAsia="zh-CN" w:bidi="zh-CN"/>
    </w:rPr>
  </w:style>
  <w:style w:type="character" w:default="1" w:styleId="11">
    <w:name w:val="Default Paragraph Font"/>
    <w:semiHidden/>
    <w:unhideWhenUsed/>
    <w:qFormat/>
    <w:uiPriority w:val="1"/>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14"/>
      <w:szCs w:val="14"/>
      <w:lang w:val="zh-CN" w:eastAsia="zh-CN" w:bidi="zh-C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2">
    <w:name w:val="Strong"/>
    <w:basedOn w:val="11"/>
    <w:qFormat/>
    <w:uiPriority w:val="0"/>
    <w:rPr>
      <w:b/>
    </w:rPr>
  </w:style>
  <w:style w:type="table" w:customStyle="1" w:styleId="13">
    <w:name w:val="Table Normal"/>
    <w:semiHidden/>
    <w:unhideWhenUsed/>
    <w:qFormat/>
    <w:uiPriority w:val="2"/>
    <w:tblPr>
      <w:tblLayout w:type="fixed"/>
      <w:tblCellMar>
        <w:top w:w="0" w:type="dxa"/>
        <w:left w:w="0" w:type="dxa"/>
        <w:bottom w:w="0" w:type="dxa"/>
        <w:right w:w="0" w:type="dxa"/>
      </w:tblCellMar>
    </w:tblPr>
  </w:style>
  <w:style w:type="paragraph" w:styleId="14">
    <w:name w:val="List Paragraph"/>
    <w:basedOn w:val="1"/>
    <w:qFormat/>
    <w:uiPriority w:val="1"/>
    <w:rPr>
      <w:lang w:val="zh-CN" w:eastAsia="zh-CN" w:bidi="zh-CN"/>
    </w:rPr>
  </w:style>
  <w:style w:type="paragraph" w:customStyle="1" w:styleId="15">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ScaleCrop>false</ScaleCrop>
  <LinksUpToDate>false</LinksUpToDate>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2022-11-21T06:01:00Z</dcterms:created>
  <dc:creator>Administrator</dc:creator>
  <cp:lastModifiedBy>食秘古男吃</cp:lastModifiedBy>
  <dcterms:modified xsi:type="dcterms:W3CDTF">2022-11-21T07:26:04Z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LastSaved">
    <vt:filetime>2022-11-18T00:00:00Z</vt:filetime>
  </property>
  <property fmtid="{D5CDD505-2E9C-101B-9397-08002B2CF9AE}" pid="4" name="KSOProductBuildVer">
    <vt:lpwstr>2052-11.1.0.9021</vt:lpwstr>
  </property>
</Properties>
</file>