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阜平县信访局</w:t>
      </w: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阜平县信访局</w:t>
      </w:r>
      <w:r>
        <w:t>本级收支预算</w:t>
      </w:r>
      <w:r>
        <w:tab/>
      </w:r>
      <w:r>
        <w:rPr>
          <w:rFonts w:hint="eastAsia"/>
          <w:lang w:eastAsia="zh-CN"/>
        </w:rPr>
        <w:t>2</w:t>
      </w:r>
      <w:r>
        <w:rPr>
          <w:rFonts w:hint="eastAsia"/>
          <w:lang w:eastAsia="zh-CN"/>
        </w:rPr>
        <w:fldChar w:fldCharType="end"/>
      </w:r>
    </w:p>
    <w:p>
      <w:pPr>
        <w:pStyle w:val="5"/>
        <w:tabs>
          <w:tab w:val="right" w:leader="dot" w:pos="14562"/>
        </w:tabs>
        <w:rPr>
          <w:lang w:eastAsia="zh-CN"/>
        </w:rPr>
      </w:pPr>
    </w:p>
    <w:p>
      <w:r>
        <w:fldChar w:fldCharType="end"/>
      </w:r>
    </w:p>
    <w:p/>
    <w:p/>
    <w:p/>
    <w:p/>
    <w:p/>
    <w:p/>
    <w:p/>
    <w:p/>
    <w:p/>
    <w:p/>
    <w:p/>
    <w:p/>
    <w:p/>
    <w:p/>
    <w:p/>
    <w:p/>
    <w:p/>
    <w:p/>
    <w:p/>
    <w:p/>
    <w:p/>
    <w:p/>
    <w:p/>
    <w:p>
      <w:pPr>
        <w:rPr>
          <w:rFonts w:eastAsiaTheme="minorEastAsia"/>
          <w:lang w:eastAsia="zh-CN"/>
        </w:rPr>
      </w:pPr>
    </w:p>
    <w:p>
      <w:pPr>
        <w:rPr>
          <w:rFonts w:eastAsiaTheme="minorEastAsia"/>
          <w:lang w:eastAsia="zh-CN"/>
        </w:rPr>
      </w:pPr>
    </w:p>
    <w:p>
      <w:pPr>
        <w:jc w:val="center"/>
        <w:outlineLvl w:val="1"/>
        <w:rPr>
          <w:rFonts w:eastAsia="方正小标宋_GBK" w:cs="方正小标宋_GBK" w:asciiTheme="minorHAnsi" w:hAnsiTheme="minorHAnsi"/>
          <w:color w:val="000000"/>
          <w:sz w:val="36"/>
          <w:lang w:val="uk-UA"/>
        </w:rPr>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185.62</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152.80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15.88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8"/>
            </w:pPr>
            <w:r>
              <w:t>本年收入合计</w:t>
            </w:r>
          </w:p>
        </w:tc>
        <w:tc>
          <w:tcPr>
            <w:tcW w:w="2126" w:type="dxa"/>
            <w:vAlign w:val="center"/>
          </w:tcPr>
          <w:p>
            <w:pPr>
              <w:pStyle w:val="19"/>
              <w:rPr>
                <w:lang w:eastAsia="zh-CN"/>
              </w:rPr>
            </w:pPr>
            <w:r>
              <w:rPr>
                <w:rFonts w:hint="eastAsia"/>
                <w:lang w:eastAsia="zh-CN"/>
              </w:rPr>
              <w:t>185.62</w:t>
            </w:r>
          </w:p>
        </w:tc>
        <w:tc>
          <w:tcPr>
            <w:tcW w:w="4535" w:type="dxa"/>
            <w:vAlign w:val="center"/>
          </w:tcPr>
          <w:p>
            <w:pPr>
              <w:pStyle w:val="18"/>
            </w:pPr>
            <w:r>
              <w:t>本年支出合计</w:t>
            </w:r>
          </w:p>
        </w:tc>
        <w:tc>
          <w:tcPr>
            <w:tcW w:w="2126" w:type="dxa"/>
            <w:vAlign w:val="center"/>
          </w:tcPr>
          <w:p>
            <w:pPr>
              <w:pStyle w:val="19"/>
            </w:pPr>
            <w:r>
              <w:rPr>
                <w:rFonts w:hint="eastAsia"/>
                <w:lang w:eastAsia="zh-CN"/>
              </w:rPr>
              <w:t>185.62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r>
              <w:rPr>
                <w:lang w:eastAsia="zh-CN"/>
              </w:rPr>
              <w:t>2</w:t>
            </w:r>
          </w:p>
        </w:tc>
        <w:tc>
          <w:tcPr>
            <w:tcW w:w="4536" w:type="dxa"/>
            <w:vAlign w:val="center"/>
          </w:tcPr>
          <w:p>
            <w:pPr>
              <w:pStyle w:val="18"/>
            </w:pPr>
            <w:r>
              <w:t>上年结转结余</w:t>
            </w:r>
          </w:p>
        </w:tc>
        <w:tc>
          <w:tcPr>
            <w:tcW w:w="2126" w:type="dxa"/>
            <w:vAlign w:val="center"/>
          </w:tcPr>
          <w:p>
            <w:pPr>
              <w:pStyle w:val="19"/>
            </w:pPr>
          </w:p>
        </w:tc>
        <w:tc>
          <w:tcPr>
            <w:tcW w:w="4535" w:type="dxa"/>
            <w:vAlign w:val="center"/>
          </w:tcPr>
          <w:p>
            <w:pPr>
              <w:pStyle w:val="18"/>
            </w:pPr>
            <w:r>
              <w:t>年终结转结余</w:t>
            </w:r>
          </w:p>
        </w:tc>
        <w:tc>
          <w:tcPr>
            <w:tcW w:w="2126" w:type="dxa"/>
            <w:vAlign w:val="center"/>
          </w:tcPr>
          <w:p>
            <w:pPr>
              <w:pStyle w:val="1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r>
              <w:rPr>
                <w:lang w:eastAsia="zh-CN"/>
              </w:rPr>
              <w:t>3</w:t>
            </w:r>
          </w:p>
        </w:tc>
        <w:tc>
          <w:tcPr>
            <w:tcW w:w="4536" w:type="dxa"/>
            <w:vAlign w:val="center"/>
          </w:tcPr>
          <w:p>
            <w:pPr>
              <w:pStyle w:val="18"/>
            </w:pPr>
            <w:r>
              <w:t>收入总计</w:t>
            </w:r>
          </w:p>
        </w:tc>
        <w:tc>
          <w:tcPr>
            <w:tcW w:w="2126" w:type="dxa"/>
            <w:vAlign w:val="center"/>
          </w:tcPr>
          <w:p>
            <w:pPr>
              <w:pStyle w:val="19"/>
            </w:pPr>
            <w:r>
              <w:rPr>
                <w:rFonts w:hint="eastAsia"/>
                <w:lang w:eastAsia="zh-CN"/>
              </w:rPr>
              <w:t>185.62</w:t>
            </w:r>
          </w:p>
        </w:tc>
        <w:tc>
          <w:tcPr>
            <w:tcW w:w="4535" w:type="dxa"/>
            <w:vAlign w:val="center"/>
          </w:tcPr>
          <w:p>
            <w:pPr>
              <w:pStyle w:val="18"/>
            </w:pPr>
            <w:r>
              <w:t>支出总计</w:t>
            </w:r>
          </w:p>
        </w:tc>
        <w:tc>
          <w:tcPr>
            <w:tcW w:w="2126" w:type="dxa"/>
            <w:vAlign w:val="center"/>
          </w:tcPr>
          <w:p>
            <w:pPr>
              <w:pStyle w:val="19"/>
            </w:pPr>
            <w:r>
              <w:rPr>
                <w:rFonts w:hint="eastAsia"/>
                <w:lang w:eastAsia="zh-CN"/>
              </w:rPr>
              <w:t>185.62</w:t>
            </w:r>
          </w:p>
        </w:tc>
      </w:tr>
    </w:tbl>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eastAsia="zh-CN"/>
        </w:rPr>
      </w:pPr>
    </w:p>
    <w:p>
      <w:pPr>
        <w:jc w:val="center"/>
        <w:outlineLvl w:val="1"/>
        <w:rPr>
          <w:rFonts w:eastAsia="方正小标宋_GBK" w:cs="方正小标宋_GBK" w:asciiTheme="minorHAnsi" w:hAnsiTheme="minorHAnsi"/>
          <w:color w:val="000000"/>
          <w:sz w:val="36"/>
          <w:lang w:val="uk-UA" w:eastAsia="zh-CN"/>
        </w:rPr>
      </w:pPr>
    </w:p>
    <w:p>
      <w:pPr>
        <w:jc w:val="center"/>
        <w:outlineLvl w:val="1"/>
        <w:rPr>
          <w:rFonts w:eastAsia="方正小标宋_GBK" w:cs="方正小标宋_GBK" w:asciiTheme="minorHAnsi" w:hAnsiTheme="minorHAnsi"/>
          <w:color w:val="000000"/>
          <w:sz w:val="36"/>
          <w:lang w:val="uk-UA"/>
        </w:r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49"/>
        <w:gridCol w:w="1920"/>
        <w:gridCol w:w="945"/>
        <w:gridCol w:w="1050"/>
        <w:gridCol w:w="989"/>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4"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3257" w:type="dxa"/>
            <w:gridSpan w:val="3"/>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969" w:type="dxa"/>
            <w:gridSpan w:val="2"/>
            <w:vAlign w:val="center"/>
          </w:tcPr>
          <w:p>
            <w:pPr>
              <w:pStyle w:val="14"/>
            </w:pPr>
            <w:r>
              <w:t>功能分类科目</w:t>
            </w:r>
          </w:p>
        </w:tc>
        <w:tc>
          <w:tcPr>
            <w:tcW w:w="945" w:type="dxa"/>
            <w:vMerge w:val="restart"/>
            <w:vAlign w:val="center"/>
          </w:tcPr>
          <w:p>
            <w:pPr>
              <w:pStyle w:val="14"/>
            </w:pPr>
            <w:r>
              <w:t>合计</w:t>
            </w:r>
          </w:p>
        </w:tc>
        <w:tc>
          <w:tcPr>
            <w:tcW w:w="8843"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49" w:type="dxa"/>
            <w:vAlign w:val="center"/>
          </w:tcPr>
          <w:p>
            <w:pPr>
              <w:pStyle w:val="14"/>
            </w:pPr>
            <w:r>
              <w:t>科目    编码</w:t>
            </w:r>
          </w:p>
        </w:tc>
        <w:tc>
          <w:tcPr>
            <w:tcW w:w="1920" w:type="dxa"/>
            <w:vAlign w:val="center"/>
          </w:tcPr>
          <w:p>
            <w:pPr>
              <w:pStyle w:val="14"/>
            </w:pPr>
            <w:r>
              <w:t>科目名称</w:t>
            </w:r>
          </w:p>
        </w:tc>
        <w:tc>
          <w:tcPr>
            <w:tcW w:w="945" w:type="dxa"/>
            <w:vMerge w:val="continue"/>
          </w:tcPr>
          <w:p/>
        </w:tc>
        <w:tc>
          <w:tcPr>
            <w:tcW w:w="1050" w:type="dxa"/>
            <w:vAlign w:val="center"/>
          </w:tcPr>
          <w:p>
            <w:pPr>
              <w:pStyle w:val="14"/>
            </w:pPr>
            <w:r>
              <w:t>小计</w:t>
            </w:r>
          </w:p>
        </w:tc>
        <w:tc>
          <w:tcPr>
            <w:tcW w:w="989"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1049" w:type="dxa"/>
            <w:vAlign w:val="center"/>
          </w:tcPr>
          <w:p>
            <w:pPr>
              <w:pStyle w:val="14"/>
            </w:pPr>
            <w:r>
              <w:t>1</w:t>
            </w:r>
          </w:p>
        </w:tc>
        <w:tc>
          <w:tcPr>
            <w:tcW w:w="1920" w:type="dxa"/>
            <w:vAlign w:val="center"/>
          </w:tcPr>
          <w:p>
            <w:pPr>
              <w:pStyle w:val="14"/>
            </w:pPr>
            <w:r>
              <w:t>2</w:t>
            </w:r>
          </w:p>
        </w:tc>
        <w:tc>
          <w:tcPr>
            <w:tcW w:w="945" w:type="dxa"/>
            <w:vAlign w:val="center"/>
          </w:tcPr>
          <w:p>
            <w:pPr>
              <w:pStyle w:val="14"/>
            </w:pPr>
            <w:r>
              <w:t>3</w:t>
            </w:r>
          </w:p>
        </w:tc>
        <w:tc>
          <w:tcPr>
            <w:tcW w:w="1050" w:type="dxa"/>
            <w:vAlign w:val="center"/>
          </w:tcPr>
          <w:p>
            <w:pPr>
              <w:pStyle w:val="14"/>
            </w:pPr>
            <w:r>
              <w:t>4</w:t>
            </w:r>
          </w:p>
        </w:tc>
        <w:tc>
          <w:tcPr>
            <w:tcW w:w="989"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rPr>
              <w:t>1</w:t>
            </w:r>
          </w:p>
        </w:tc>
        <w:tc>
          <w:tcPr>
            <w:tcW w:w="1049" w:type="dxa"/>
            <w:vAlign w:val="center"/>
          </w:tcPr>
          <w:p>
            <w:pPr>
              <w:pStyle w:val="16"/>
            </w:pPr>
          </w:p>
        </w:tc>
        <w:tc>
          <w:tcPr>
            <w:tcW w:w="1920" w:type="dxa"/>
            <w:vAlign w:val="center"/>
          </w:tcPr>
          <w:p>
            <w:pPr>
              <w:pStyle w:val="16"/>
            </w:pPr>
            <w:r>
              <w:rPr>
                <w:rFonts w:hint="eastAsia"/>
              </w:rPr>
              <w:t>合计</w:t>
            </w:r>
          </w:p>
        </w:tc>
        <w:tc>
          <w:tcPr>
            <w:tcW w:w="945" w:type="dxa"/>
            <w:vAlign w:val="center"/>
          </w:tcPr>
          <w:p>
            <w:pPr>
              <w:jc w:val="right"/>
              <w:textAlignment w:val="top"/>
              <w:rPr>
                <w:rFonts w:ascii="方正书宋_GBK" w:hAnsi="方正书宋_GBK" w:eastAsia="方正书宋_GBK" w:cs="方正书宋_GBK"/>
                <w:color w:val="000000"/>
                <w:sz w:val="22"/>
                <w:szCs w:val="22"/>
                <w:lang w:bidi="ar"/>
              </w:rPr>
            </w:pPr>
            <w:r>
              <w:rPr>
                <w:rFonts w:hint="eastAsia" w:ascii="方正书宋_GBK" w:hAnsi="方正书宋_GBK" w:eastAsia="方正书宋_GBK" w:cs="方正书宋_GBK"/>
                <w:color w:val="000000"/>
                <w:sz w:val="22"/>
                <w:szCs w:val="22"/>
                <w:lang w:eastAsia="zh-CN" w:bidi="ar"/>
              </w:rPr>
              <w:t>185.62</w:t>
            </w:r>
          </w:p>
        </w:tc>
        <w:tc>
          <w:tcPr>
            <w:tcW w:w="1050" w:type="dxa"/>
          </w:tcPr>
          <w:p>
            <w:pPr>
              <w:jc w:val="right"/>
              <w:textAlignment w:val="top"/>
              <w:rPr>
                <w:rFonts w:ascii="方正书宋_GBK" w:hAnsi="方正书宋_GBK" w:eastAsia="方正书宋_GBK" w:cs="方正书宋_GBK"/>
                <w:color w:val="000000"/>
                <w:sz w:val="22"/>
                <w:szCs w:val="22"/>
                <w:lang w:bidi="ar"/>
              </w:rPr>
            </w:pPr>
            <w:r>
              <w:rPr>
                <w:rFonts w:hint="eastAsia" w:ascii="方正书宋_GBK" w:hAnsi="方正书宋_GBK" w:eastAsia="方正书宋_GBK" w:cs="方正书宋_GBK"/>
                <w:color w:val="000000"/>
                <w:sz w:val="22"/>
                <w:szCs w:val="22"/>
                <w:lang w:eastAsia="zh-CN" w:bidi="ar"/>
              </w:rPr>
              <w:t>185.62</w:t>
            </w:r>
          </w:p>
        </w:tc>
        <w:tc>
          <w:tcPr>
            <w:tcW w:w="989" w:type="dxa"/>
          </w:tcPr>
          <w:p>
            <w:pPr>
              <w:jc w:val="right"/>
              <w:textAlignment w:val="top"/>
              <w:rPr>
                <w:rFonts w:ascii="方正书宋_GBK" w:hAnsi="方正书宋_GBK" w:eastAsia="方正书宋_GBK" w:cs="方正书宋_GBK"/>
                <w:color w:val="000000"/>
                <w:sz w:val="22"/>
                <w:szCs w:val="22"/>
                <w:lang w:bidi="ar"/>
              </w:rPr>
            </w:pPr>
            <w:r>
              <w:rPr>
                <w:rFonts w:hint="eastAsia" w:ascii="方正书宋_GBK" w:hAnsi="方正书宋_GBK" w:eastAsia="方正书宋_GBK" w:cs="方正书宋_GBK"/>
                <w:color w:val="000000"/>
                <w:sz w:val="22"/>
                <w:szCs w:val="22"/>
                <w:lang w:eastAsia="zh-CN" w:bidi="ar"/>
              </w:rPr>
              <w:t>185.62</w:t>
            </w:r>
          </w:p>
        </w:tc>
        <w:tc>
          <w:tcPr>
            <w:tcW w:w="1134" w:type="dxa"/>
            <w:vAlign w:val="center"/>
          </w:tcPr>
          <w:p>
            <w:pPr>
              <w:jc w:val="right"/>
              <w:textAlignment w:val="top"/>
              <w:rPr>
                <w:rFonts w:ascii="方正书宋_GBK" w:hAnsi="方正书宋_GBK" w:eastAsia="方正书宋_GBK" w:cs="方正书宋_GBK"/>
                <w:color w:val="000000"/>
                <w:sz w:val="22"/>
                <w:szCs w:val="22"/>
                <w:lang w:eastAsia="zh-CN" w:bidi="ar"/>
              </w:rPr>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rPr>
                <w:lang w:eastAsia="zh-CN"/>
              </w:rPr>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rPr>
              <w:t>2</w:t>
            </w:r>
          </w:p>
        </w:tc>
        <w:tc>
          <w:tcPr>
            <w:tcW w:w="1049" w:type="dxa"/>
          </w:tcPr>
          <w:p>
            <w:pPr>
              <w:pStyle w:val="16"/>
              <w:rPr>
                <w:lang w:eastAsia="zh-CN"/>
              </w:rPr>
            </w:pPr>
            <w:r>
              <w:rPr>
                <w:rFonts w:hint="eastAsia"/>
                <w:lang w:eastAsia="zh-CN"/>
              </w:rPr>
              <w:t>201</w:t>
            </w:r>
          </w:p>
        </w:tc>
        <w:tc>
          <w:tcPr>
            <w:tcW w:w="1920" w:type="dxa"/>
          </w:tcPr>
          <w:p>
            <w:pPr>
              <w:pStyle w:val="16"/>
              <w:rPr>
                <w:lang w:eastAsia="zh-CN"/>
              </w:rPr>
            </w:pPr>
            <w:r>
              <w:rPr>
                <w:rFonts w:hint="eastAsia"/>
                <w:lang w:eastAsia="zh-CN"/>
              </w:rPr>
              <w:t>一般公共服务支出</w:t>
            </w:r>
          </w:p>
        </w:tc>
        <w:tc>
          <w:tcPr>
            <w:tcW w:w="945"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1050"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989"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rPr>
              <w:t>3</w:t>
            </w:r>
          </w:p>
        </w:tc>
        <w:tc>
          <w:tcPr>
            <w:tcW w:w="1049" w:type="dxa"/>
          </w:tcPr>
          <w:p>
            <w:pPr>
              <w:pStyle w:val="16"/>
            </w:pPr>
            <w:r>
              <w:rPr>
                <w:rFonts w:hint="eastAsia"/>
                <w:lang w:eastAsia="zh-CN"/>
              </w:rPr>
              <w:t>20103</w:t>
            </w:r>
          </w:p>
        </w:tc>
        <w:tc>
          <w:tcPr>
            <w:tcW w:w="1920" w:type="dxa"/>
          </w:tcPr>
          <w:p>
            <w:pPr>
              <w:pStyle w:val="16"/>
            </w:pPr>
            <w:r>
              <w:rPr>
                <w:rFonts w:hint="eastAsia"/>
                <w:lang w:eastAsia="zh-CN"/>
              </w:rPr>
              <w:t>政府办公厅（室）及相关机构事务</w:t>
            </w:r>
          </w:p>
        </w:tc>
        <w:tc>
          <w:tcPr>
            <w:tcW w:w="945"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1050"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989"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rPr>
              <w:t>4</w:t>
            </w:r>
          </w:p>
        </w:tc>
        <w:tc>
          <w:tcPr>
            <w:tcW w:w="1049" w:type="dxa"/>
          </w:tcPr>
          <w:p>
            <w:pPr>
              <w:pStyle w:val="16"/>
            </w:pPr>
            <w:r>
              <w:rPr>
                <w:rFonts w:hint="eastAsia"/>
                <w:lang w:eastAsia="zh-CN"/>
              </w:rPr>
              <w:t>2010308</w:t>
            </w:r>
          </w:p>
        </w:tc>
        <w:tc>
          <w:tcPr>
            <w:tcW w:w="1920" w:type="dxa"/>
          </w:tcPr>
          <w:p>
            <w:pPr>
              <w:pStyle w:val="16"/>
            </w:pPr>
            <w:r>
              <w:rPr>
                <w:rFonts w:hint="eastAsia"/>
                <w:lang w:eastAsia="zh-CN"/>
              </w:rPr>
              <w:t>信访事务</w:t>
            </w:r>
          </w:p>
        </w:tc>
        <w:tc>
          <w:tcPr>
            <w:tcW w:w="945"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color w:val="000000"/>
                <w:sz w:val="22"/>
                <w:szCs w:val="22"/>
                <w:lang w:eastAsia="zh-CN" w:bidi="ar"/>
              </w:rPr>
              <w:t>152.80</w:t>
            </w:r>
          </w:p>
        </w:tc>
        <w:tc>
          <w:tcPr>
            <w:tcW w:w="1050"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color w:val="000000"/>
                <w:sz w:val="22"/>
                <w:szCs w:val="22"/>
                <w:lang w:eastAsia="zh-CN" w:bidi="ar"/>
              </w:rPr>
              <w:t>152.80</w:t>
            </w:r>
          </w:p>
        </w:tc>
        <w:tc>
          <w:tcPr>
            <w:tcW w:w="989"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color w:val="000000"/>
                <w:sz w:val="22"/>
                <w:szCs w:val="22"/>
                <w:lang w:eastAsia="zh-CN" w:bidi="ar"/>
              </w:rPr>
              <w:t>152.80</w:t>
            </w:r>
          </w:p>
        </w:tc>
        <w:tc>
          <w:tcPr>
            <w:tcW w:w="1134" w:type="dxa"/>
            <w:vAlign w:val="center"/>
          </w:tcPr>
          <w:p>
            <w:pPr>
              <w:pStyle w:val="16"/>
              <w:rPr>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rPr>
              <w:t>5</w:t>
            </w:r>
          </w:p>
        </w:tc>
        <w:tc>
          <w:tcPr>
            <w:tcW w:w="1049" w:type="dxa"/>
          </w:tcPr>
          <w:p>
            <w:pPr>
              <w:pStyle w:val="16"/>
            </w:pPr>
            <w:r>
              <w:rPr>
                <w:rFonts w:hint="eastAsia"/>
                <w:lang w:eastAsia="zh-CN"/>
              </w:rPr>
              <w:t>208</w:t>
            </w:r>
          </w:p>
        </w:tc>
        <w:tc>
          <w:tcPr>
            <w:tcW w:w="1920" w:type="dxa"/>
          </w:tcPr>
          <w:p>
            <w:pPr>
              <w:pStyle w:val="16"/>
            </w:pPr>
            <w:r>
              <w:rPr>
                <w:rFonts w:hint="eastAsia"/>
                <w:lang w:eastAsia="zh-CN"/>
              </w:rPr>
              <w:t>社会保障和就业支出</w:t>
            </w:r>
          </w:p>
        </w:tc>
        <w:tc>
          <w:tcPr>
            <w:tcW w:w="945"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 xml:space="preserve">15.88 </w:t>
            </w:r>
          </w:p>
        </w:tc>
        <w:tc>
          <w:tcPr>
            <w:tcW w:w="1050"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 xml:space="preserve">15.88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6</w:t>
            </w:r>
          </w:p>
        </w:tc>
        <w:tc>
          <w:tcPr>
            <w:tcW w:w="1049" w:type="dxa"/>
          </w:tcPr>
          <w:p>
            <w:pPr>
              <w:pStyle w:val="16"/>
              <w:rPr>
                <w:lang w:eastAsia="zh-CN"/>
              </w:rPr>
            </w:pPr>
            <w:r>
              <w:rPr>
                <w:rFonts w:hint="eastAsia"/>
                <w:lang w:eastAsia="zh-CN"/>
              </w:rPr>
              <w:t>20805</w:t>
            </w:r>
          </w:p>
        </w:tc>
        <w:tc>
          <w:tcPr>
            <w:tcW w:w="1920" w:type="dxa"/>
          </w:tcPr>
          <w:p>
            <w:pPr>
              <w:pStyle w:val="16"/>
              <w:rPr>
                <w:lang w:eastAsia="zh-CN"/>
              </w:rPr>
            </w:pPr>
            <w:r>
              <w:rPr>
                <w:rFonts w:hint="eastAsia"/>
                <w:lang w:eastAsia="zh-CN"/>
              </w:rPr>
              <w:t>行政事业单位养老支出</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7</w:t>
            </w:r>
          </w:p>
        </w:tc>
        <w:tc>
          <w:tcPr>
            <w:tcW w:w="1049" w:type="dxa"/>
          </w:tcPr>
          <w:p>
            <w:pPr>
              <w:pStyle w:val="16"/>
              <w:rPr>
                <w:lang w:eastAsia="zh-CN"/>
              </w:rPr>
            </w:pPr>
            <w:r>
              <w:rPr>
                <w:rFonts w:hint="eastAsia"/>
                <w:lang w:eastAsia="zh-CN"/>
              </w:rPr>
              <w:t>2080501</w:t>
            </w:r>
          </w:p>
        </w:tc>
        <w:tc>
          <w:tcPr>
            <w:tcW w:w="1920" w:type="dxa"/>
          </w:tcPr>
          <w:p>
            <w:pPr>
              <w:pStyle w:val="16"/>
              <w:rPr>
                <w:lang w:eastAsia="zh-CN"/>
              </w:rPr>
            </w:pPr>
            <w:r>
              <w:rPr>
                <w:rFonts w:hint="eastAsia"/>
                <w:lang w:eastAsia="zh-CN"/>
              </w:rPr>
              <w:t>行政单位离退休</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8</w:t>
            </w:r>
          </w:p>
        </w:tc>
        <w:tc>
          <w:tcPr>
            <w:tcW w:w="1049" w:type="dxa"/>
          </w:tcPr>
          <w:p>
            <w:pPr>
              <w:pStyle w:val="16"/>
            </w:pPr>
            <w:r>
              <w:rPr>
                <w:rFonts w:hint="eastAsia"/>
                <w:lang w:eastAsia="zh-CN"/>
              </w:rPr>
              <w:t>2080505</w:t>
            </w:r>
          </w:p>
        </w:tc>
        <w:tc>
          <w:tcPr>
            <w:tcW w:w="1920" w:type="dxa"/>
          </w:tcPr>
          <w:p>
            <w:pPr>
              <w:pStyle w:val="16"/>
            </w:pPr>
            <w:r>
              <w:rPr>
                <w:rFonts w:hint="eastAsia"/>
              </w:rPr>
              <w:t>机关事业单位基本养老保险缴费支出</w:t>
            </w:r>
          </w:p>
        </w:tc>
        <w:tc>
          <w:tcPr>
            <w:tcW w:w="945"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 xml:space="preserve">13.29 </w:t>
            </w:r>
          </w:p>
        </w:tc>
        <w:tc>
          <w:tcPr>
            <w:tcW w:w="1050"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 xml:space="preserve">13.29 </w:t>
            </w:r>
          </w:p>
        </w:tc>
        <w:tc>
          <w:tcPr>
            <w:tcW w:w="989"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 xml:space="preserve">13.29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9</w:t>
            </w:r>
          </w:p>
        </w:tc>
        <w:tc>
          <w:tcPr>
            <w:tcW w:w="1049" w:type="dxa"/>
          </w:tcPr>
          <w:p>
            <w:pPr>
              <w:pStyle w:val="16"/>
            </w:pPr>
            <w:r>
              <w:rPr>
                <w:rFonts w:hint="eastAsia"/>
                <w:lang w:eastAsia="zh-CN"/>
              </w:rPr>
              <w:t>210</w:t>
            </w:r>
          </w:p>
        </w:tc>
        <w:tc>
          <w:tcPr>
            <w:tcW w:w="1920" w:type="dxa"/>
          </w:tcPr>
          <w:p>
            <w:pPr>
              <w:pStyle w:val="16"/>
            </w:pPr>
            <w:r>
              <w:rPr>
                <w:rFonts w:hint="eastAsia"/>
                <w:lang w:eastAsia="zh-CN"/>
              </w:rPr>
              <w:t>卫生健康支出</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10</w:t>
            </w:r>
          </w:p>
        </w:tc>
        <w:tc>
          <w:tcPr>
            <w:tcW w:w="1049" w:type="dxa"/>
          </w:tcPr>
          <w:p>
            <w:pPr>
              <w:pStyle w:val="16"/>
            </w:pPr>
            <w:r>
              <w:rPr>
                <w:rFonts w:hint="eastAsia"/>
                <w:lang w:eastAsia="zh-CN"/>
              </w:rPr>
              <w:t>21011</w:t>
            </w:r>
          </w:p>
        </w:tc>
        <w:tc>
          <w:tcPr>
            <w:tcW w:w="1920" w:type="dxa"/>
          </w:tcPr>
          <w:p>
            <w:pPr>
              <w:pStyle w:val="16"/>
            </w:pPr>
            <w:r>
              <w:rPr>
                <w:rFonts w:hint="eastAsia"/>
                <w:lang w:eastAsia="zh-CN"/>
              </w:rPr>
              <w:t>行政事业单位医疗</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rPr>
              <w:t>1</w:t>
            </w:r>
            <w:r>
              <w:rPr>
                <w:rFonts w:hint="eastAsia"/>
                <w:lang w:eastAsia="zh-CN"/>
              </w:rPr>
              <w:t>1</w:t>
            </w:r>
          </w:p>
        </w:tc>
        <w:tc>
          <w:tcPr>
            <w:tcW w:w="1049" w:type="dxa"/>
          </w:tcPr>
          <w:p>
            <w:pPr>
              <w:pStyle w:val="16"/>
            </w:pPr>
            <w:r>
              <w:rPr>
                <w:rFonts w:hint="eastAsia"/>
                <w:lang w:eastAsia="zh-CN"/>
              </w:rPr>
              <w:t>2101101</w:t>
            </w:r>
          </w:p>
        </w:tc>
        <w:tc>
          <w:tcPr>
            <w:tcW w:w="1920" w:type="dxa"/>
          </w:tcPr>
          <w:p>
            <w:pPr>
              <w:pStyle w:val="16"/>
            </w:pPr>
            <w:r>
              <w:rPr>
                <w:rFonts w:hint="eastAsia"/>
                <w:lang w:eastAsia="zh-CN"/>
              </w:rPr>
              <w:t>行政单位医疗</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12</w:t>
            </w:r>
          </w:p>
        </w:tc>
        <w:tc>
          <w:tcPr>
            <w:tcW w:w="1049"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1920"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rPr>
              <w:t>1</w:t>
            </w:r>
            <w:r>
              <w:rPr>
                <w:rFonts w:hint="eastAsia"/>
                <w:lang w:eastAsia="zh-CN"/>
              </w:rPr>
              <w:t>3</w:t>
            </w:r>
          </w:p>
        </w:tc>
        <w:tc>
          <w:tcPr>
            <w:tcW w:w="1049" w:type="dxa"/>
          </w:tcPr>
          <w:p>
            <w:pPr>
              <w:pStyle w:val="16"/>
            </w:pPr>
            <w:r>
              <w:rPr>
                <w:rFonts w:hint="eastAsia"/>
                <w:lang w:eastAsia="zh-CN"/>
              </w:rPr>
              <w:t>221</w:t>
            </w:r>
          </w:p>
        </w:tc>
        <w:tc>
          <w:tcPr>
            <w:tcW w:w="1920" w:type="dxa"/>
          </w:tcPr>
          <w:p>
            <w:pPr>
              <w:pStyle w:val="16"/>
            </w:pPr>
            <w:r>
              <w:rPr>
                <w:rFonts w:hint="eastAsia"/>
                <w:lang w:eastAsia="zh-CN"/>
              </w:rPr>
              <w:t xml:space="preserve">住房保障支出 </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rPr>
              <w:t>1</w:t>
            </w:r>
            <w:r>
              <w:rPr>
                <w:rFonts w:hint="eastAsia"/>
                <w:lang w:eastAsia="zh-CN"/>
              </w:rPr>
              <w:t>4</w:t>
            </w:r>
          </w:p>
        </w:tc>
        <w:tc>
          <w:tcPr>
            <w:tcW w:w="1049" w:type="dxa"/>
          </w:tcPr>
          <w:p>
            <w:pPr>
              <w:pStyle w:val="16"/>
            </w:pPr>
            <w:r>
              <w:rPr>
                <w:rFonts w:hint="eastAsia"/>
                <w:lang w:eastAsia="zh-CN"/>
              </w:rPr>
              <w:t>22102</w:t>
            </w:r>
          </w:p>
        </w:tc>
        <w:tc>
          <w:tcPr>
            <w:tcW w:w="1920" w:type="dxa"/>
          </w:tcPr>
          <w:p>
            <w:pPr>
              <w:pStyle w:val="16"/>
            </w:pPr>
            <w:r>
              <w:rPr>
                <w:rFonts w:hint="eastAsia"/>
                <w:lang w:eastAsia="zh-CN"/>
              </w:rPr>
              <w:t>住房改革支出</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15</w:t>
            </w:r>
          </w:p>
        </w:tc>
        <w:tc>
          <w:tcPr>
            <w:tcW w:w="1049" w:type="dxa"/>
          </w:tcPr>
          <w:p>
            <w:pPr>
              <w:pStyle w:val="16"/>
              <w:rPr>
                <w:lang w:eastAsia="zh-CN"/>
              </w:rPr>
            </w:pPr>
            <w:r>
              <w:rPr>
                <w:rFonts w:hint="eastAsia"/>
                <w:lang w:eastAsia="zh-CN"/>
              </w:rPr>
              <w:t>2210201</w:t>
            </w:r>
          </w:p>
        </w:tc>
        <w:tc>
          <w:tcPr>
            <w:tcW w:w="1920" w:type="dxa"/>
          </w:tcPr>
          <w:p>
            <w:pPr>
              <w:pStyle w:val="16"/>
            </w:pPr>
            <w:r>
              <w:rPr>
                <w:rFonts w:hint="eastAsia"/>
                <w:lang w:eastAsia="zh-CN"/>
              </w:rPr>
              <w:t>住房公积金</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75"/>
        <w:gridCol w:w="445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722" w:type="dxa"/>
            <w:gridSpan w:val="2"/>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075" w:type="dxa"/>
            <w:vAlign w:val="center"/>
          </w:tcPr>
          <w:p>
            <w:pPr>
              <w:pStyle w:val="14"/>
            </w:pPr>
            <w:r>
              <w:t>科目    编码</w:t>
            </w:r>
          </w:p>
        </w:tc>
        <w:tc>
          <w:tcPr>
            <w:tcW w:w="4453"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075" w:type="dxa"/>
            <w:vAlign w:val="center"/>
          </w:tcPr>
          <w:p>
            <w:pPr>
              <w:pStyle w:val="14"/>
            </w:pPr>
            <w:r>
              <w:t>1</w:t>
            </w:r>
          </w:p>
        </w:tc>
        <w:tc>
          <w:tcPr>
            <w:tcW w:w="4453"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w:t>
            </w:r>
          </w:p>
        </w:tc>
        <w:tc>
          <w:tcPr>
            <w:tcW w:w="1075" w:type="dxa"/>
            <w:vAlign w:val="center"/>
          </w:tcPr>
          <w:p>
            <w:pPr>
              <w:pStyle w:val="16"/>
              <w:rPr>
                <w:lang w:eastAsia="zh-CN"/>
              </w:rPr>
            </w:pPr>
          </w:p>
        </w:tc>
        <w:tc>
          <w:tcPr>
            <w:tcW w:w="4453" w:type="dxa"/>
            <w:vAlign w:val="center"/>
          </w:tcPr>
          <w:p>
            <w:pPr>
              <w:pStyle w:val="16"/>
              <w:rPr>
                <w:lang w:eastAsia="zh-CN"/>
              </w:rPr>
            </w:pPr>
            <w:r>
              <w:rPr>
                <w:rFonts w:hint="eastAsia"/>
                <w:lang w:eastAsia="zh-CN"/>
              </w:rPr>
              <w:t>合计</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152.80</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77.65 </w:t>
            </w:r>
          </w:p>
        </w:tc>
        <w:tc>
          <w:tcPr>
            <w:tcW w:w="1361" w:type="dxa"/>
            <w:vAlign w:val="center"/>
          </w:tcPr>
          <w:p>
            <w:pPr>
              <w:pStyle w:val="16"/>
              <w:rPr>
                <w:lang w:eastAsia="zh-CN"/>
              </w:rPr>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2</w:t>
            </w:r>
          </w:p>
        </w:tc>
        <w:tc>
          <w:tcPr>
            <w:tcW w:w="1075" w:type="dxa"/>
            <w:vAlign w:val="center"/>
          </w:tcPr>
          <w:p>
            <w:pPr>
              <w:pStyle w:val="16"/>
              <w:rPr>
                <w:lang w:eastAsia="zh-CN"/>
              </w:rPr>
            </w:pPr>
            <w:r>
              <w:rPr>
                <w:rFonts w:hint="eastAsia"/>
                <w:lang w:eastAsia="zh-CN"/>
              </w:rPr>
              <w:t>201</w:t>
            </w:r>
          </w:p>
        </w:tc>
        <w:tc>
          <w:tcPr>
            <w:tcW w:w="4453" w:type="dxa"/>
            <w:vAlign w:val="center"/>
          </w:tcPr>
          <w:p>
            <w:pPr>
              <w:pStyle w:val="16"/>
              <w:rPr>
                <w:lang w:eastAsia="zh-CN"/>
              </w:rPr>
            </w:pPr>
            <w:r>
              <w:rPr>
                <w:rFonts w:hint="eastAsia"/>
                <w:lang w:eastAsia="zh-CN"/>
              </w:rPr>
              <w:t>一般公共服务支出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152.80</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77.65</w:t>
            </w: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3</w:t>
            </w:r>
          </w:p>
        </w:tc>
        <w:tc>
          <w:tcPr>
            <w:tcW w:w="1075" w:type="dxa"/>
            <w:vAlign w:val="center"/>
          </w:tcPr>
          <w:p>
            <w:pPr>
              <w:pStyle w:val="16"/>
              <w:rPr>
                <w:lang w:eastAsia="zh-CN"/>
              </w:rPr>
            </w:pPr>
            <w:r>
              <w:rPr>
                <w:rFonts w:hint="eastAsia"/>
                <w:lang w:eastAsia="zh-CN"/>
              </w:rPr>
              <w:t>20103</w:t>
            </w:r>
          </w:p>
        </w:tc>
        <w:tc>
          <w:tcPr>
            <w:tcW w:w="4453" w:type="dxa"/>
            <w:vAlign w:val="center"/>
          </w:tcPr>
          <w:p>
            <w:pPr>
              <w:pStyle w:val="16"/>
              <w:rPr>
                <w:lang w:eastAsia="zh-CN"/>
              </w:rPr>
            </w:pPr>
            <w:r>
              <w:rPr>
                <w:rFonts w:hint="eastAsia"/>
                <w:lang w:eastAsia="zh-CN"/>
              </w:rPr>
              <w:t>政府办公厅（室）及相关机构事务</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152.80</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77.65</w:t>
            </w: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4</w:t>
            </w:r>
          </w:p>
        </w:tc>
        <w:tc>
          <w:tcPr>
            <w:tcW w:w="1075" w:type="dxa"/>
            <w:vAlign w:val="center"/>
          </w:tcPr>
          <w:p>
            <w:pPr>
              <w:pStyle w:val="16"/>
              <w:rPr>
                <w:lang w:eastAsia="zh-CN"/>
              </w:rPr>
            </w:pPr>
            <w:r>
              <w:rPr>
                <w:rFonts w:hint="eastAsia"/>
                <w:lang w:eastAsia="zh-CN"/>
              </w:rPr>
              <w:t>2010308</w:t>
            </w:r>
          </w:p>
        </w:tc>
        <w:tc>
          <w:tcPr>
            <w:tcW w:w="4453" w:type="dxa"/>
            <w:vAlign w:val="center"/>
          </w:tcPr>
          <w:p>
            <w:pPr>
              <w:pStyle w:val="16"/>
              <w:rPr>
                <w:lang w:eastAsia="zh-CN"/>
              </w:rPr>
            </w:pPr>
            <w:r>
              <w:rPr>
                <w:rFonts w:hint="eastAsia"/>
                <w:lang w:eastAsia="zh-CN"/>
              </w:rPr>
              <w:t>信访事务</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5</w:t>
            </w:r>
          </w:p>
        </w:tc>
        <w:tc>
          <w:tcPr>
            <w:tcW w:w="1075" w:type="dxa"/>
            <w:vAlign w:val="center"/>
          </w:tcPr>
          <w:p>
            <w:pPr>
              <w:pStyle w:val="16"/>
              <w:rPr>
                <w:lang w:eastAsia="zh-CN"/>
              </w:rPr>
            </w:pPr>
            <w:r>
              <w:rPr>
                <w:rFonts w:hint="eastAsia"/>
                <w:lang w:eastAsia="zh-CN"/>
              </w:rPr>
              <w:t>208</w:t>
            </w:r>
          </w:p>
        </w:tc>
        <w:tc>
          <w:tcPr>
            <w:tcW w:w="4453" w:type="dxa"/>
            <w:vAlign w:val="center"/>
          </w:tcPr>
          <w:p>
            <w:pPr>
              <w:pStyle w:val="16"/>
              <w:rPr>
                <w:lang w:eastAsia="zh-CN"/>
              </w:rPr>
            </w:pPr>
            <w:r>
              <w:rPr>
                <w:rFonts w:hint="eastAsia"/>
                <w:lang w:eastAsia="zh-CN"/>
              </w:rPr>
              <w:t>社会保障和就业支出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6</w:t>
            </w:r>
          </w:p>
        </w:tc>
        <w:tc>
          <w:tcPr>
            <w:tcW w:w="1075" w:type="dxa"/>
            <w:vAlign w:val="center"/>
          </w:tcPr>
          <w:p>
            <w:pPr>
              <w:pStyle w:val="16"/>
              <w:rPr>
                <w:lang w:eastAsia="zh-CN"/>
              </w:rPr>
            </w:pPr>
            <w:r>
              <w:rPr>
                <w:rFonts w:hint="eastAsia"/>
                <w:lang w:eastAsia="zh-CN"/>
              </w:rPr>
              <w:t>20805</w:t>
            </w:r>
          </w:p>
        </w:tc>
        <w:tc>
          <w:tcPr>
            <w:tcW w:w="4453" w:type="dxa"/>
            <w:vAlign w:val="center"/>
          </w:tcPr>
          <w:p>
            <w:pPr>
              <w:pStyle w:val="16"/>
              <w:rPr>
                <w:lang w:eastAsia="zh-CN"/>
              </w:rPr>
            </w:pPr>
            <w:r>
              <w:rPr>
                <w:rFonts w:hint="eastAsia"/>
                <w:lang w:eastAsia="zh-CN"/>
              </w:rPr>
              <w:t>行政事业单位养老支出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7</w:t>
            </w:r>
          </w:p>
        </w:tc>
        <w:tc>
          <w:tcPr>
            <w:tcW w:w="1075" w:type="dxa"/>
            <w:vAlign w:val="center"/>
          </w:tcPr>
          <w:p>
            <w:pPr>
              <w:pStyle w:val="16"/>
              <w:rPr>
                <w:lang w:eastAsia="zh-CN"/>
              </w:rPr>
            </w:pPr>
            <w:r>
              <w:rPr>
                <w:rFonts w:hint="eastAsia"/>
                <w:lang w:eastAsia="zh-CN"/>
              </w:rPr>
              <w:t>2080501</w:t>
            </w:r>
          </w:p>
        </w:tc>
        <w:tc>
          <w:tcPr>
            <w:tcW w:w="4453" w:type="dxa"/>
            <w:vAlign w:val="center"/>
          </w:tcPr>
          <w:p>
            <w:pPr>
              <w:pStyle w:val="16"/>
              <w:rPr>
                <w:lang w:eastAsia="zh-CN"/>
              </w:rPr>
            </w:pPr>
            <w:r>
              <w:rPr>
                <w:rFonts w:hint="eastAsia"/>
                <w:lang w:eastAsia="zh-CN"/>
              </w:rPr>
              <w:t>行政单位离退休</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8</w:t>
            </w:r>
          </w:p>
        </w:tc>
        <w:tc>
          <w:tcPr>
            <w:tcW w:w="1075" w:type="dxa"/>
            <w:vAlign w:val="center"/>
          </w:tcPr>
          <w:p>
            <w:pPr>
              <w:pStyle w:val="16"/>
              <w:rPr>
                <w:lang w:eastAsia="zh-CN"/>
              </w:rPr>
            </w:pPr>
            <w:r>
              <w:rPr>
                <w:rFonts w:hint="eastAsia"/>
                <w:lang w:eastAsia="zh-CN"/>
              </w:rPr>
              <w:t>2080505</w:t>
            </w:r>
          </w:p>
        </w:tc>
        <w:tc>
          <w:tcPr>
            <w:tcW w:w="4453" w:type="dxa"/>
            <w:vAlign w:val="center"/>
          </w:tcPr>
          <w:p>
            <w:pPr>
              <w:pStyle w:val="16"/>
              <w:rPr>
                <w:lang w:eastAsia="zh-CN"/>
              </w:rPr>
            </w:pPr>
            <w:r>
              <w:rPr>
                <w:rFonts w:hint="eastAsia"/>
                <w:lang w:eastAsia="zh-CN"/>
              </w:rPr>
              <w:t>机关事业单位基本养老保险缴费支出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6"/>
              <w:jc w:val="center"/>
              <w:rPr>
                <w:lang w:eastAsia="zh-CN"/>
              </w:rPr>
            </w:pPr>
            <w:r>
              <w:rPr>
                <w:lang w:eastAsia="zh-CN"/>
              </w:rPr>
              <w:t>9</w:t>
            </w:r>
          </w:p>
        </w:tc>
        <w:tc>
          <w:tcPr>
            <w:tcW w:w="1075" w:type="dxa"/>
            <w:vAlign w:val="center"/>
          </w:tcPr>
          <w:p>
            <w:pPr>
              <w:pStyle w:val="16"/>
              <w:rPr>
                <w:lang w:eastAsia="zh-CN"/>
              </w:rPr>
            </w:pPr>
            <w:r>
              <w:rPr>
                <w:rFonts w:hint="eastAsia"/>
                <w:lang w:eastAsia="zh-CN"/>
              </w:rPr>
              <w:t>210</w:t>
            </w:r>
          </w:p>
        </w:tc>
        <w:tc>
          <w:tcPr>
            <w:tcW w:w="4453" w:type="dxa"/>
            <w:vAlign w:val="center"/>
          </w:tcPr>
          <w:p>
            <w:pPr>
              <w:pStyle w:val="16"/>
              <w:rPr>
                <w:lang w:eastAsia="zh-CN"/>
              </w:rPr>
            </w:pPr>
            <w:r>
              <w:rPr>
                <w:rFonts w:hint="eastAsia"/>
                <w:lang w:eastAsia="zh-CN"/>
              </w:rPr>
              <w:t>卫生健康支出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10</w:t>
            </w:r>
          </w:p>
        </w:tc>
        <w:tc>
          <w:tcPr>
            <w:tcW w:w="1075" w:type="dxa"/>
            <w:vAlign w:val="center"/>
          </w:tcPr>
          <w:p>
            <w:pPr>
              <w:pStyle w:val="16"/>
              <w:rPr>
                <w:lang w:eastAsia="zh-CN"/>
              </w:rPr>
            </w:pPr>
            <w:r>
              <w:rPr>
                <w:rFonts w:hint="eastAsia"/>
                <w:lang w:eastAsia="zh-CN"/>
              </w:rPr>
              <w:t>21011</w:t>
            </w:r>
          </w:p>
        </w:tc>
        <w:tc>
          <w:tcPr>
            <w:tcW w:w="4453" w:type="dxa"/>
            <w:vAlign w:val="center"/>
          </w:tcPr>
          <w:p>
            <w:pPr>
              <w:pStyle w:val="16"/>
              <w:rPr>
                <w:lang w:eastAsia="zh-CN"/>
              </w:rPr>
            </w:pPr>
            <w:r>
              <w:rPr>
                <w:rFonts w:hint="eastAsia"/>
                <w:lang w:eastAsia="zh-CN"/>
              </w:rPr>
              <w:t>行政事业单位医疗</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11</w:t>
            </w:r>
          </w:p>
        </w:tc>
        <w:tc>
          <w:tcPr>
            <w:tcW w:w="1075" w:type="dxa"/>
            <w:vAlign w:val="center"/>
          </w:tcPr>
          <w:p>
            <w:pPr>
              <w:pStyle w:val="16"/>
              <w:rPr>
                <w:lang w:eastAsia="zh-CN"/>
              </w:rPr>
            </w:pPr>
            <w:r>
              <w:rPr>
                <w:rFonts w:hint="eastAsia"/>
                <w:lang w:eastAsia="zh-CN"/>
              </w:rPr>
              <w:t>2101101</w:t>
            </w:r>
          </w:p>
        </w:tc>
        <w:tc>
          <w:tcPr>
            <w:tcW w:w="4453" w:type="dxa"/>
            <w:vAlign w:val="center"/>
          </w:tcPr>
          <w:p>
            <w:pPr>
              <w:pStyle w:val="16"/>
              <w:rPr>
                <w:lang w:eastAsia="zh-CN"/>
              </w:rPr>
            </w:pPr>
            <w:r>
              <w:rPr>
                <w:rFonts w:hint="eastAsia"/>
                <w:lang w:eastAsia="zh-CN"/>
              </w:rPr>
              <w:t>行政单位医疗</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12</w:t>
            </w:r>
          </w:p>
        </w:tc>
        <w:tc>
          <w:tcPr>
            <w:tcW w:w="1075" w:type="dxa"/>
            <w:vAlign w:val="center"/>
          </w:tcPr>
          <w:p>
            <w:pPr>
              <w:pStyle w:val="16"/>
              <w:rPr>
                <w:lang w:eastAsia="zh-CN"/>
              </w:rPr>
            </w:pPr>
            <w:r>
              <w:rPr>
                <w:rFonts w:hint="eastAsia"/>
                <w:lang w:eastAsia="zh-CN"/>
              </w:rPr>
              <w:t>2101103</w:t>
            </w:r>
          </w:p>
        </w:tc>
        <w:tc>
          <w:tcPr>
            <w:tcW w:w="4453" w:type="dxa"/>
            <w:vAlign w:val="center"/>
          </w:tcPr>
          <w:p>
            <w:pPr>
              <w:pStyle w:val="16"/>
              <w:rPr>
                <w:lang w:eastAsia="zh-CN"/>
              </w:rPr>
            </w:pPr>
            <w:r>
              <w:rPr>
                <w:rFonts w:hint="eastAsia"/>
                <w:lang w:eastAsia="zh-CN"/>
              </w:rPr>
              <w:t>公务员医疗补助</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13</w:t>
            </w:r>
          </w:p>
        </w:tc>
        <w:tc>
          <w:tcPr>
            <w:tcW w:w="1075" w:type="dxa"/>
            <w:vAlign w:val="center"/>
          </w:tcPr>
          <w:p>
            <w:pPr>
              <w:pStyle w:val="16"/>
              <w:rPr>
                <w:lang w:eastAsia="zh-CN"/>
              </w:rPr>
            </w:pPr>
            <w:r>
              <w:rPr>
                <w:rFonts w:hint="eastAsia"/>
                <w:lang w:eastAsia="zh-CN"/>
              </w:rPr>
              <w:t>221</w:t>
            </w:r>
          </w:p>
        </w:tc>
        <w:tc>
          <w:tcPr>
            <w:tcW w:w="4453" w:type="dxa"/>
            <w:vAlign w:val="center"/>
          </w:tcPr>
          <w:p>
            <w:pPr>
              <w:pStyle w:val="16"/>
              <w:rPr>
                <w:lang w:eastAsia="zh-CN"/>
              </w:rPr>
            </w:pPr>
            <w:r>
              <w:rPr>
                <w:rFonts w:hint="eastAsia"/>
                <w:lang w:eastAsia="zh-CN"/>
              </w:rPr>
              <w:t>住房保障支出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14</w:t>
            </w:r>
          </w:p>
        </w:tc>
        <w:tc>
          <w:tcPr>
            <w:tcW w:w="1075" w:type="dxa"/>
            <w:vAlign w:val="center"/>
          </w:tcPr>
          <w:p>
            <w:pPr>
              <w:pStyle w:val="16"/>
              <w:rPr>
                <w:lang w:eastAsia="zh-CN"/>
              </w:rPr>
            </w:pPr>
            <w:r>
              <w:rPr>
                <w:rFonts w:hint="eastAsia"/>
                <w:lang w:eastAsia="zh-CN"/>
              </w:rPr>
              <w:t>22102</w:t>
            </w:r>
          </w:p>
        </w:tc>
        <w:tc>
          <w:tcPr>
            <w:tcW w:w="4453" w:type="dxa"/>
            <w:vAlign w:val="center"/>
          </w:tcPr>
          <w:p>
            <w:pPr>
              <w:pStyle w:val="16"/>
              <w:rPr>
                <w:lang w:eastAsia="zh-CN"/>
              </w:rPr>
            </w:pPr>
            <w:r>
              <w:rPr>
                <w:rFonts w:hint="eastAsia"/>
                <w:lang w:eastAsia="zh-CN"/>
              </w:rPr>
              <w:t>住房改革支出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15</w:t>
            </w:r>
          </w:p>
        </w:tc>
        <w:tc>
          <w:tcPr>
            <w:tcW w:w="1075" w:type="dxa"/>
            <w:vAlign w:val="center"/>
          </w:tcPr>
          <w:p>
            <w:pPr>
              <w:pStyle w:val="16"/>
              <w:rPr>
                <w:lang w:eastAsia="zh-CN"/>
              </w:rPr>
            </w:pPr>
            <w:r>
              <w:rPr>
                <w:rFonts w:hint="eastAsia"/>
                <w:lang w:eastAsia="zh-CN"/>
              </w:rPr>
              <w:t>2210201</w:t>
            </w:r>
          </w:p>
        </w:tc>
        <w:tc>
          <w:tcPr>
            <w:tcW w:w="4453" w:type="dxa"/>
            <w:vAlign w:val="center"/>
          </w:tcPr>
          <w:p>
            <w:pPr>
              <w:pStyle w:val="16"/>
              <w:rPr>
                <w:lang w:eastAsia="zh-CN"/>
              </w:rPr>
            </w:pPr>
            <w:r>
              <w:rPr>
                <w:rFonts w:hint="eastAsia"/>
                <w:lang w:eastAsia="zh-CN"/>
              </w:rPr>
              <w:t>住房公积金</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textAlignment w:val="top"/>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rPr>
                <w:szCs w:val="21"/>
              </w:rPr>
            </w:pPr>
            <w:r>
              <w:rPr>
                <w:rFonts w:hint="eastAsia"/>
                <w:szCs w:val="21"/>
              </w:rPr>
              <w:t>一、一般公共预算拨款</w:t>
            </w:r>
          </w:p>
        </w:tc>
        <w:tc>
          <w:tcPr>
            <w:tcW w:w="1474" w:type="dxa"/>
          </w:tcPr>
          <w:p>
            <w:pPr>
              <w:pStyle w:val="16"/>
              <w:jc w:val="right"/>
              <w:rPr>
                <w:szCs w:val="21"/>
              </w:rPr>
            </w:pPr>
            <w:r>
              <w:rPr>
                <w:rFonts w:hint="eastAsia"/>
                <w:szCs w:val="21"/>
                <w:lang w:eastAsia="zh-CN"/>
              </w:rPr>
              <w:t>185.62</w:t>
            </w:r>
          </w:p>
        </w:tc>
        <w:tc>
          <w:tcPr>
            <w:tcW w:w="3402" w:type="dxa"/>
            <w:vAlign w:val="center"/>
          </w:tcPr>
          <w:p>
            <w:pPr>
              <w:pStyle w:val="16"/>
              <w:rPr>
                <w:szCs w:val="21"/>
                <w:lang w:eastAsia="zh-CN"/>
              </w:rPr>
            </w:pPr>
            <w:r>
              <w:rPr>
                <w:rFonts w:hint="eastAsia"/>
                <w:szCs w:val="21"/>
                <w:lang w:eastAsia="zh-CN"/>
              </w:rPr>
              <w:t>一、一般公共服务支出</w:t>
            </w:r>
          </w:p>
        </w:tc>
        <w:tc>
          <w:tcPr>
            <w:tcW w:w="1474" w:type="dxa"/>
          </w:tcPr>
          <w:p>
            <w:pPr>
              <w:jc w:val="right"/>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eastAsia="zh-CN"/>
              </w:rPr>
              <w:t>152.80</w:t>
            </w:r>
          </w:p>
        </w:tc>
        <w:tc>
          <w:tcPr>
            <w:tcW w:w="1474" w:type="dxa"/>
          </w:tcPr>
          <w:p>
            <w:pPr>
              <w:jc w:val="right"/>
              <w:rPr>
                <w:rFonts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152.80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rPr>
                <w:szCs w:val="21"/>
              </w:rPr>
            </w:pPr>
            <w:r>
              <w:rPr>
                <w:rFonts w:hint="eastAsia"/>
                <w:szCs w:val="21"/>
              </w:rPr>
              <w:t>二、政府性基金预算拨款</w:t>
            </w: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二、外交支出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rPr>
                <w:szCs w:val="21"/>
              </w:rPr>
            </w:pPr>
            <w:r>
              <w:rPr>
                <w:rFonts w:hint="eastAsia"/>
                <w:szCs w:val="21"/>
              </w:rPr>
              <w:t>三、国有资本经营预算拨款</w:t>
            </w: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三、国防支出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四、公共安全支出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五、教育支出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六、科学技术支出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七、文化旅游体育与传媒支出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八、社会保障和就业支出</w:t>
            </w:r>
          </w:p>
        </w:tc>
        <w:tc>
          <w:tcPr>
            <w:tcW w:w="1474" w:type="dxa"/>
            <w:vAlign w:val="center"/>
          </w:tcPr>
          <w:p>
            <w:pPr>
              <w:pStyle w:val="15"/>
              <w:rPr>
                <w:szCs w:val="21"/>
                <w:lang w:eastAsia="zh-CN"/>
              </w:rPr>
            </w:pPr>
            <w:r>
              <w:rPr>
                <w:rFonts w:hint="eastAsia"/>
                <w:szCs w:val="21"/>
                <w:lang w:eastAsia="zh-CN"/>
              </w:rPr>
              <w:t>15.88</w:t>
            </w:r>
          </w:p>
        </w:tc>
        <w:tc>
          <w:tcPr>
            <w:tcW w:w="1474" w:type="dxa"/>
            <w:vAlign w:val="center"/>
          </w:tcPr>
          <w:p>
            <w:pPr>
              <w:pStyle w:val="15"/>
              <w:rPr>
                <w:szCs w:val="21"/>
                <w:lang w:eastAsia="zh-CN"/>
              </w:rPr>
            </w:pPr>
            <w:r>
              <w:rPr>
                <w:rFonts w:hint="eastAsia"/>
                <w:szCs w:val="21"/>
                <w:lang w:eastAsia="zh-CN"/>
              </w:rPr>
              <w:t>15.88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九、社会保险基金支出</w:t>
            </w:r>
          </w:p>
        </w:tc>
        <w:tc>
          <w:tcPr>
            <w:tcW w:w="1474" w:type="dxa"/>
            <w:vAlign w:val="center"/>
          </w:tcPr>
          <w:p>
            <w:pPr>
              <w:pStyle w:val="15"/>
              <w:rPr>
                <w:szCs w:val="21"/>
                <w:lang w:eastAsia="zh-CN"/>
              </w:rPr>
            </w:pPr>
          </w:p>
        </w:tc>
        <w:tc>
          <w:tcPr>
            <w:tcW w:w="1474" w:type="dxa"/>
            <w:vAlign w:val="center"/>
          </w:tcPr>
          <w:p>
            <w:pPr>
              <w:pStyle w:val="15"/>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十、卫生健康支出</w:t>
            </w:r>
          </w:p>
        </w:tc>
        <w:tc>
          <w:tcPr>
            <w:tcW w:w="1474" w:type="dxa"/>
            <w:vAlign w:val="center"/>
          </w:tcPr>
          <w:p>
            <w:pPr>
              <w:pStyle w:val="15"/>
              <w:rPr>
                <w:szCs w:val="21"/>
                <w:lang w:eastAsia="zh-CN"/>
              </w:rPr>
            </w:pPr>
            <w:r>
              <w:rPr>
                <w:rFonts w:hint="eastAsia"/>
                <w:szCs w:val="21"/>
                <w:lang w:eastAsia="zh-CN"/>
              </w:rPr>
              <w:t>6.98</w:t>
            </w:r>
          </w:p>
        </w:tc>
        <w:tc>
          <w:tcPr>
            <w:tcW w:w="1474" w:type="dxa"/>
            <w:vAlign w:val="center"/>
          </w:tcPr>
          <w:p>
            <w:pPr>
              <w:pStyle w:val="15"/>
              <w:rPr>
                <w:szCs w:val="21"/>
                <w:lang w:eastAsia="zh-CN"/>
              </w:rPr>
            </w:pPr>
            <w:r>
              <w:rPr>
                <w:rFonts w:hint="eastAsia"/>
                <w:szCs w:val="21"/>
                <w:lang w:eastAsia="zh-CN"/>
              </w:rPr>
              <w:t>6.98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十一、节能环保支出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十二、城乡社区支出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十三、农林水支出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十四、交通运输支出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十五、资源勘探工业信息等支出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十六、商业服务业等支出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十七、金融支出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十八、援助其他地区支出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十九、自然资源海洋气象等支出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二十、住房保障支出</w:t>
            </w:r>
          </w:p>
        </w:tc>
        <w:tc>
          <w:tcPr>
            <w:tcW w:w="1474" w:type="dxa"/>
            <w:vAlign w:val="center"/>
          </w:tcPr>
          <w:p>
            <w:pPr>
              <w:pStyle w:val="15"/>
              <w:rPr>
                <w:lang w:eastAsia="zh-CN"/>
              </w:rPr>
            </w:pPr>
            <w:r>
              <w:rPr>
                <w:rFonts w:hint="eastAsia"/>
                <w:lang w:eastAsia="zh-CN"/>
              </w:rPr>
              <w:t>9.97</w:t>
            </w:r>
          </w:p>
        </w:tc>
        <w:tc>
          <w:tcPr>
            <w:tcW w:w="1474" w:type="dxa"/>
            <w:vAlign w:val="center"/>
          </w:tcPr>
          <w:p>
            <w:pPr>
              <w:pStyle w:val="15"/>
              <w:rPr>
                <w:lang w:eastAsia="zh-CN"/>
              </w:rPr>
            </w:pPr>
            <w:r>
              <w:rPr>
                <w:rFonts w:hint="eastAsia"/>
                <w:lang w:eastAsia="zh-CN"/>
              </w:rPr>
              <w:t>9.97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二十一、粮油物资储备支出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二十二、国有资本经营预算支出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二十三、灾害防治及应急管理支出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二十四、预备费</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二十五、其他支出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二十六、转移性支出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二十七、债务还本支出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二十八、债务付息支出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二十九、债务发行费用支出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三十、抗疫特别国债安排的支出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6"/>
              <w:jc w:val="right"/>
              <w:rPr>
                <w:lang w:eastAsia="zh-CN"/>
              </w:rPr>
            </w:pPr>
            <w:r>
              <w:rPr>
                <w:rFonts w:hint="eastAsia"/>
                <w:szCs w:val="21"/>
                <w:lang w:eastAsia="zh-CN"/>
              </w:rPr>
              <w:t>185.62</w:t>
            </w:r>
          </w:p>
        </w:tc>
        <w:tc>
          <w:tcPr>
            <w:tcW w:w="3402" w:type="dxa"/>
            <w:vAlign w:val="center"/>
          </w:tcPr>
          <w:p>
            <w:pPr>
              <w:pStyle w:val="16"/>
              <w:rPr>
                <w:lang w:eastAsia="zh-CN"/>
              </w:rPr>
            </w:pPr>
            <w:r>
              <w:rPr>
                <w:lang w:eastAsia="zh-CN"/>
              </w:rPr>
              <w:t>本年支出合计</w:t>
            </w:r>
          </w:p>
        </w:tc>
        <w:tc>
          <w:tcPr>
            <w:tcW w:w="1474" w:type="dxa"/>
            <w:vAlign w:val="center"/>
          </w:tcPr>
          <w:p>
            <w:pPr>
              <w:jc w:val="right"/>
              <w:rPr>
                <w:lang w:eastAsia="zh-CN"/>
              </w:rPr>
            </w:pPr>
            <w:r>
              <w:rPr>
                <w:rFonts w:hint="eastAsia" w:cs="方正书宋_GBK"/>
                <w:sz w:val="21"/>
                <w:szCs w:val="21"/>
                <w:lang w:eastAsia="zh-CN"/>
              </w:rPr>
              <w:t>18</w:t>
            </w:r>
            <w:r>
              <w:rPr>
                <w:rFonts w:hint="eastAsia" w:ascii="方正书宋_GBK" w:hAnsi="方正书宋_GBK" w:eastAsia="方正书宋_GBK" w:cs="方正书宋_GBK"/>
                <w:sz w:val="21"/>
                <w:szCs w:val="21"/>
                <w:lang w:eastAsia="zh-CN"/>
              </w:rPr>
              <w:t>5.62</w:t>
            </w:r>
          </w:p>
        </w:tc>
        <w:tc>
          <w:tcPr>
            <w:tcW w:w="1474" w:type="dxa"/>
            <w:vAlign w:val="center"/>
          </w:tcPr>
          <w:p>
            <w:pPr>
              <w:jc w:val="right"/>
              <w:rPr>
                <w:lang w:eastAsia="zh-CN"/>
              </w:rPr>
            </w:pPr>
            <w:r>
              <w:rPr>
                <w:rFonts w:hint="eastAsia" w:cs="方正书宋_GBK"/>
                <w:sz w:val="21"/>
                <w:szCs w:val="21"/>
                <w:lang w:eastAsia="zh-CN"/>
              </w:rPr>
              <w:t>18</w:t>
            </w:r>
            <w:r>
              <w:rPr>
                <w:rFonts w:hint="eastAsia" w:ascii="方正书宋_GBK" w:hAnsi="方正书宋_GBK" w:eastAsia="方正书宋_GBK" w:cs="方正书宋_GBK"/>
                <w:sz w:val="21"/>
                <w:szCs w:val="21"/>
                <w:lang w:eastAsia="zh-CN"/>
              </w:rPr>
              <w:t>5.62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年末财政拨款结转和结余</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6"/>
              <w:rPr>
                <w:lang w:eastAsia="zh-CN"/>
              </w:rPr>
            </w:pPr>
          </w:p>
        </w:tc>
        <w:tc>
          <w:tcPr>
            <w:tcW w:w="3402"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6"/>
              <w:rPr>
                <w:lang w:eastAsia="zh-CN"/>
              </w:rPr>
            </w:pPr>
          </w:p>
        </w:tc>
        <w:tc>
          <w:tcPr>
            <w:tcW w:w="3402"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rPr>
                <w:rFonts w:hint="eastAsia"/>
                <w:szCs w:val="21"/>
                <w:lang w:eastAsia="zh-CN"/>
              </w:rPr>
              <w:t>185.62</w:t>
            </w:r>
          </w:p>
        </w:tc>
        <w:tc>
          <w:tcPr>
            <w:tcW w:w="3402" w:type="dxa"/>
            <w:vAlign w:val="center"/>
          </w:tcPr>
          <w:p>
            <w:pPr>
              <w:pStyle w:val="18"/>
            </w:pPr>
            <w:r>
              <w:t>支出总计</w:t>
            </w:r>
          </w:p>
        </w:tc>
        <w:tc>
          <w:tcPr>
            <w:tcW w:w="1474" w:type="dxa"/>
            <w:vAlign w:val="center"/>
          </w:tcPr>
          <w:p>
            <w:pPr>
              <w:jc w:val="right"/>
              <w:rPr>
                <w:rFonts w:ascii="方正书宋_GBK" w:hAnsi="方正书宋_GBK" w:eastAsia="方正书宋_GBK" w:cs="方正书宋_GBK"/>
                <w:b/>
                <w:bCs/>
                <w:sz w:val="21"/>
                <w:lang w:eastAsia="zh-CN"/>
              </w:rPr>
            </w:pPr>
            <w:r>
              <w:rPr>
                <w:rFonts w:hint="eastAsia" w:cs="方正书宋_GBK"/>
                <w:b/>
                <w:bCs/>
                <w:sz w:val="21"/>
                <w:szCs w:val="21"/>
                <w:lang w:eastAsia="zh-CN"/>
              </w:rPr>
              <w:t>18</w:t>
            </w:r>
            <w:r>
              <w:rPr>
                <w:rFonts w:hint="eastAsia" w:ascii="方正书宋_GBK" w:hAnsi="方正书宋_GBK" w:eastAsia="方正书宋_GBK" w:cs="方正书宋_GBK"/>
                <w:b/>
                <w:bCs/>
                <w:sz w:val="21"/>
                <w:szCs w:val="21"/>
                <w:lang w:eastAsia="zh-CN"/>
              </w:rPr>
              <w:t>5.62</w:t>
            </w:r>
          </w:p>
        </w:tc>
        <w:tc>
          <w:tcPr>
            <w:tcW w:w="1474" w:type="dxa"/>
            <w:vAlign w:val="center"/>
          </w:tcPr>
          <w:p>
            <w:pPr>
              <w:jc w:val="right"/>
              <w:rPr>
                <w:rFonts w:ascii="方正书宋_GBK" w:hAnsi="方正书宋_GBK" w:eastAsia="方正书宋_GBK" w:cs="方正书宋_GBK"/>
                <w:b/>
                <w:bCs/>
                <w:sz w:val="21"/>
                <w:lang w:eastAsia="zh-CN"/>
              </w:rPr>
            </w:pPr>
            <w:r>
              <w:rPr>
                <w:rFonts w:hint="eastAsia" w:cs="方正书宋_GBK"/>
                <w:b/>
                <w:bCs/>
                <w:sz w:val="21"/>
                <w:szCs w:val="21"/>
                <w:lang w:eastAsia="zh-CN"/>
              </w:rPr>
              <w:t>18</w:t>
            </w:r>
            <w:r>
              <w:rPr>
                <w:rFonts w:hint="eastAsia" w:ascii="方正书宋_GBK" w:hAnsi="方正书宋_GBK" w:eastAsia="方正书宋_GBK" w:cs="方正书宋_GBK"/>
                <w:b/>
                <w:bCs/>
                <w:sz w:val="21"/>
                <w:szCs w:val="21"/>
                <w:lang w:eastAsia="zh-CN"/>
              </w:rPr>
              <w:t>5.62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w:t>
            </w:r>
          </w:p>
        </w:tc>
        <w:tc>
          <w:tcPr>
            <w:tcW w:w="1191" w:type="dxa"/>
            <w:vAlign w:val="center"/>
          </w:tcPr>
          <w:p>
            <w:pPr>
              <w:pStyle w:val="16"/>
              <w:rPr>
                <w:lang w:eastAsia="zh-CN"/>
              </w:rPr>
            </w:pPr>
          </w:p>
        </w:tc>
        <w:tc>
          <w:tcPr>
            <w:tcW w:w="4535" w:type="dxa"/>
            <w:vAlign w:val="center"/>
          </w:tcPr>
          <w:p>
            <w:pPr>
              <w:pStyle w:val="16"/>
              <w:rPr>
                <w:lang w:eastAsia="zh-CN"/>
              </w:rPr>
            </w:pPr>
            <w:r>
              <w:rPr>
                <w:rFonts w:hint="eastAsia"/>
                <w:lang w:eastAsia="zh-CN"/>
              </w:rPr>
              <w:t>合计</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152.80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77.65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2</w:t>
            </w:r>
          </w:p>
        </w:tc>
        <w:tc>
          <w:tcPr>
            <w:tcW w:w="1191" w:type="dxa"/>
            <w:vAlign w:val="center"/>
          </w:tcPr>
          <w:p>
            <w:pPr>
              <w:pStyle w:val="16"/>
              <w:rPr>
                <w:lang w:eastAsia="zh-CN"/>
              </w:rPr>
            </w:pPr>
            <w:r>
              <w:rPr>
                <w:rFonts w:hint="eastAsia"/>
                <w:lang w:eastAsia="zh-CN"/>
              </w:rPr>
              <w:t>201</w:t>
            </w:r>
          </w:p>
        </w:tc>
        <w:tc>
          <w:tcPr>
            <w:tcW w:w="4535" w:type="dxa"/>
            <w:vAlign w:val="center"/>
          </w:tcPr>
          <w:p>
            <w:pPr>
              <w:pStyle w:val="16"/>
              <w:rPr>
                <w:lang w:eastAsia="zh-CN"/>
              </w:rPr>
            </w:pPr>
            <w:r>
              <w:rPr>
                <w:rFonts w:hint="eastAsia"/>
                <w:lang w:eastAsia="zh-CN"/>
              </w:rPr>
              <w:t>一般公共服务支出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152.80</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77.65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3</w:t>
            </w:r>
          </w:p>
        </w:tc>
        <w:tc>
          <w:tcPr>
            <w:tcW w:w="1191" w:type="dxa"/>
            <w:vAlign w:val="center"/>
          </w:tcPr>
          <w:p>
            <w:pPr>
              <w:pStyle w:val="16"/>
              <w:rPr>
                <w:lang w:eastAsia="zh-CN"/>
              </w:rPr>
            </w:pPr>
            <w:r>
              <w:rPr>
                <w:rFonts w:hint="eastAsia"/>
                <w:lang w:eastAsia="zh-CN"/>
              </w:rPr>
              <w:t>20103</w:t>
            </w:r>
          </w:p>
        </w:tc>
        <w:tc>
          <w:tcPr>
            <w:tcW w:w="4535" w:type="dxa"/>
            <w:vAlign w:val="center"/>
          </w:tcPr>
          <w:p>
            <w:pPr>
              <w:pStyle w:val="16"/>
              <w:rPr>
                <w:lang w:eastAsia="zh-CN"/>
              </w:rPr>
            </w:pPr>
            <w:r>
              <w:rPr>
                <w:rFonts w:hint="eastAsia"/>
                <w:lang w:eastAsia="zh-CN"/>
              </w:rPr>
              <w:t>政府办公厅（室）及相关机构事务</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152.80</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77.65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4</w:t>
            </w:r>
          </w:p>
        </w:tc>
        <w:tc>
          <w:tcPr>
            <w:tcW w:w="1191" w:type="dxa"/>
            <w:vAlign w:val="center"/>
          </w:tcPr>
          <w:p>
            <w:pPr>
              <w:pStyle w:val="16"/>
              <w:rPr>
                <w:lang w:eastAsia="zh-CN"/>
              </w:rPr>
            </w:pPr>
            <w:r>
              <w:rPr>
                <w:rFonts w:hint="eastAsia"/>
                <w:lang w:eastAsia="zh-CN"/>
              </w:rPr>
              <w:t>2010308</w:t>
            </w:r>
          </w:p>
        </w:tc>
        <w:tc>
          <w:tcPr>
            <w:tcW w:w="4535" w:type="dxa"/>
            <w:vAlign w:val="center"/>
          </w:tcPr>
          <w:p>
            <w:pPr>
              <w:pStyle w:val="16"/>
              <w:rPr>
                <w:lang w:eastAsia="zh-CN"/>
              </w:rPr>
            </w:pPr>
            <w:r>
              <w:rPr>
                <w:rFonts w:hint="eastAsia"/>
                <w:lang w:eastAsia="zh-CN"/>
              </w:rPr>
              <w:t>信访事务</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5</w:t>
            </w:r>
          </w:p>
        </w:tc>
        <w:tc>
          <w:tcPr>
            <w:tcW w:w="1191" w:type="dxa"/>
            <w:vAlign w:val="center"/>
          </w:tcPr>
          <w:p>
            <w:pPr>
              <w:pStyle w:val="16"/>
              <w:rPr>
                <w:lang w:eastAsia="zh-CN"/>
              </w:rPr>
            </w:pPr>
            <w:r>
              <w:rPr>
                <w:rFonts w:hint="eastAsia"/>
                <w:lang w:eastAsia="zh-CN"/>
              </w:rPr>
              <w:t>208</w:t>
            </w:r>
          </w:p>
        </w:tc>
        <w:tc>
          <w:tcPr>
            <w:tcW w:w="4535" w:type="dxa"/>
            <w:vAlign w:val="center"/>
          </w:tcPr>
          <w:p>
            <w:pPr>
              <w:pStyle w:val="16"/>
              <w:rPr>
                <w:lang w:eastAsia="zh-CN"/>
              </w:rPr>
            </w:pPr>
            <w:r>
              <w:rPr>
                <w:rFonts w:hint="eastAsia"/>
                <w:lang w:eastAsia="zh-CN"/>
              </w:rPr>
              <w:t>社会保障和就业支出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6</w:t>
            </w:r>
          </w:p>
        </w:tc>
        <w:tc>
          <w:tcPr>
            <w:tcW w:w="1191" w:type="dxa"/>
            <w:vAlign w:val="center"/>
          </w:tcPr>
          <w:p>
            <w:pPr>
              <w:pStyle w:val="16"/>
              <w:rPr>
                <w:lang w:eastAsia="zh-CN"/>
              </w:rPr>
            </w:pPr>
            <w:r>
              <w:rPr>
                <w:rFonts w:hint="eastAsia"/>
                <w:lang w:eastAsia="zh-CN"/>
              </w:rPr>
              <w:t>20805</w:t>
            </w:r>
          </w:p>
        </w:tc>
        <w:tc>
          <w:tcPr>
            <w:tcW w:w="4535" w:type="dxa"/>
            <w:vAlign w:val="center"/>
          </w:tcPr>
          <w:p>
            <w:pPr>
              <w:pStyle w:val="16"/>
              <w:rPr>
                <w:lang w:eastAsia="zh-CN"/>
              </w:rPr>
            </w:pPr>
            <w:r>
              <w:rPr>
                <w:rFonts w:hint="eastAsia"/>
                <w:lang w:eastAsia="zh-CN"/>
              </w:rPr>
              <w:t>行政事业单位养老支出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7</w:t>
            </w:r>
          </w:p>
        </w:tc>
        <w:tc>
          <w:tcPr>
            <w:tcW w:w="1191" w:type="dxa"/>
            <w:vAlign w:val="center"/>
          </w:tcPr>
          <w:p>
            <w:pPr>
              <w:pStyle w:val="16"/>
              <w:rPr>
                <w:lang w:eastAsia="zh-CN"/>
              </w:rPr>
            </w:pPr>
            <w:r>
              <w:rPr>
                <w:rFonts w:hint="eastAsia"/>
                <w:lang w:eastAsia="zh-CN"/>
              </w:rPr>
              <w:t>2080501</w:t>
            </w:r>
          </w:p>
        </w:tc>
        <w:tc>
          <w:tcPr>
            <w:tcW w:w="4535" w:type="dxa"/>
            <w:vAlign w:val="center"/>
          </w:tcPr>
          <w:p>
            <w:pPr>
              <w:pStyle w:val="16"/>
              <w:rPr>
                <w:lang w:eastAsia="zh-CN"/>
              </w:rPr>
            </w:pPr>
            <w:r>
              <w:rPr>
                <w:rFonts w:hint="eastAsia"/>
                <w:lang w:eastAsia="zh-CN"/>
              </w:rPr>
              <w:t>行政单位离退休</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8</w:t>
            </w:r>
          </w:p>
        </w:tc>
        <w:tc>
          <w:tcPr>
            <w:tcW w:w="1191" w:type="dxa"/>
            <w:vAlign w:val="center"/>
          </w:tcPr>
          <w:p>
            <w:pPr>
              <w:pStyle w:val="16"/>
              <w:rPr>
                <w:lang w:eastAsia="zh-CN"/>
              </w:rPr>
            </w:pPr>
            <w:r>
              <w:rPr>
                <w:rFonts w:hint="eastAsia"/>
                <w:lang w:eastAsia="zh-CN"/>
              </w:rPr>
              <w:t>2080505</w:t>
            </w:r>
          </w:p>
        </w:tc>
        <w:tc>
          <w:tcPr>
            <w:tcW w:w="4535" w:type="dxa"/>
            <w:vAlign w:val="center"/>
          </w:tcPr>
          <w:p>
            <w:pPr>
              <w:pStyle w:val="16"/>
              <w:rPr>
                <w:lang w:eastAsia="zh-CN"/>
              </w:rPr>
            </w:pPr>
            <w:r>
              <w:rPr>
                <w:rFonts w:hint="eastAsia"/>
                <w:lang w:eastAsia="zh-CN"/>
              </w:rPr>
              <w:t>机关事业单位基本养老保险缴费支出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9</w:t>
            </w:r>
          </w:p>
        </w:tc>
        <w:tc>
          <w:tcPr>
            <w:tcW w:w="1191" w:type="dxa"/>
            <w:vAlign w:val="center"/>
          </w:tcPr>
          <w:p>
            <w:pPr>
              <w:pStyle w:val="16"/>
              <w:rPr>
                <w:lang w:eastAsia="zh-CN"/>
              </w:rPr>
            </w:pPr>
            <w:r>
              <w:rPr>
                <w:rFonts w:hint="eastAsia"/>
                <w:lang w:eastAsia="zh-CN"/>
              </w:rPr>
              <w:t>210</w:t>
            </w:r>
          </w:p>
        </w:tc>
        <w:tc>
          <w:tcPr>
            <w:tcW w:w="4535" w:type="dxa"/>
            <w:vAlign w:val="center"/>
          </w:tcPr>
          <w:p>
            <w:pPr>
              <w:pStyle w:val="16"/>
              <w:rPr>
                <w:lang w:eastAsia="zh-CN"/>
              </w:rPr>
            </w:pPr>
            <w:r>
              <w:rPr>
                <w:rFonts w:hint="eastAsia"/>
                <w:lang w:eastAsia="zh-CN"/>
              </w:rPr>
              <w:t>卫生健康支出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6"/>
              <w:jc w:val="center"/>
              <w:rPr>
                <w:lang w:eastAsia="zh-CN"/>
              </w:rPr>
            </w:pPr>
            <w:r>
              <w:rPr>
                <w:lang w:eastAsia="zh-CN"/>
              </w:rPr>
              <w:t>10</w:t>
            </w:r>
          </w:p>
        </w:tc>
        <w:tc>
          <w:tcPr>
            <w:tcW w:w="1191" w:type="dxa"/>
            <w:vAlign w:val="center"/>
          </w:tcPr>
          <w:p>
            <w:pPr>
              <w:pStyle w:val="16"/>
              <w:rPr>
                <w:lang w:eastAsia="zh-CN"/>
              </w:rPr>
            </w:pPr>
            <w:r>
              <w:rPr>
                <w:rFonts w:hint="eastAsia"/>
                <w:lang w:eastAsia="zh-CN"/>
              </w:rPr>
              <w:t>21011</w:t>
            </w:r>
          </w:p>
        </w:tc>
        <w:tc>
          <w:tcPr>
            <w:tcW w:w="4535" w:type="dxa"/>
            <w:vAlign w:val="center"/>
          </w:tcPr>
          <w:p>
            <w:pPr>
              <w:pStyle w:val="16"/>
              <w:rPr>
                <w:lang w:eastAsia="zh-CN"/>
              </w:rPr>
            </w:pPr>
            <w:r>
              <w:rPr>
                <w:rFonts w:hint="eastAsia"/>
                <w:lang w:eastAsia="zh-CN"/>
              </w:rPr>
              <w:t>行政事业单位医疗</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11</w:t>
            </w:r>
          </w:p>
        </w:tc>
        <w:tc>
          <w:tcPr>
            <w:tcW w:w="1191" w:type="dxa"/>
            <w:vAlign w:val="center"/>
          </w:tcPr>
          <w:p>
            <w:pPr>
              <w:pStyle w:val="16"/>
              <w:rPr>
                <w:lang w:eastAsia="zh-CN"/>
              </w:rPr>
            </w:pPr>
            <w:r>
              <w:rPr>
                <w:rFonts w:hint="eastAsia"/>
                <w:lang w:eastAsia="zh-CN"/>
              </w:rPr>
              <w:t>2101101</w:t>
            </w:r>
          </w:p>
        </w:tc>
        <w:tc>
          <w:tcPr>
            <w:tcW w:w="4535" w:type="dxa"/>
            <w:vAlign w:val="center"/>
          </w:tcPr>
          <w:p>
            <w:pPr>
              <w:pStyle w:val="16"/>
              <w:rPr>
                <w:lang w:eastAsia="zh-CN"/>
              </w:rPr>
            </w:pPr>
            <w:r>
              <w:rPr>
                <w:rFonts w:hint="eastAsia"/>
                <w:lang w:eastAsia="zh-CN"/>
              </w:rPr>
              <w:t>行政单位医疗</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12</w:t>
            </w:r>
          </w:p>
        </w:tc>
        <w:tc>
          <w:tcPr>
            <w:tcW w:w="1191" w:type="dxa"/>
            <w:vAlign w:val="center"/>
          </w:tcPr>
          <w:p>
            <w:pPr>
              <w:pStyle w:val="16"/>
              <w:rPr>
                <w:lang w:eastAsia="zh-CN"/>
              </w:rPr>
            </w:pPr>
            <w:r>
              <w:rPr>
                <w:rFonts w:hint="eastAsia"/>
                <w:lang w:eastAsia="zh-CN"/>
              </w:rPr>
              <w:t>2101103</w:t>
            </w:r>
          </w:p>
        </w:tc>
        <w:tc>
          <w:tcPr>
            <w:tcW w:w="4535" w:type="dxa"/>
            <w:vAlign w:val="center"/>
          </w:tcPr>
          <w:p>
            <w:pPr>
              <w:pStyle w:val="16"/>
              <w:rPr>
                <w:lang w:eastAsia="zh-CN"/>
              </w:rPr>
            </w:pPr>
            <w:r>
              <w:rPr>
                <w:rFonts w:hint="eastAsia"/>
                <w:lang w:eastAsia="zh-CN"/>
              </w:rPr>
              <w:t>公务员医疗补助</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13</w:t>
            </w:r>
          </w:p>
        </w:tc>
        <w:tc>
          <w:tcPr>
            <w:tcW w:w="1191" w:type="dxa"/>
            <w:vAlign w:val="center"/>
          </w:tcPr>
          <w:p>
            <w:pPr>
              <w:pStyle w:val="16"/>
              <w:rPr>
                <w:lang w:eastAsia="zh-CN"/>
              </w:rPr>
            </w:pPr>
            <w:r>
              <w:rPr>
                <w:rFonts w:hint="eastAsia"/>
                <w:lang w:eastAsia="zh-CN"/>
              </w:rPr>
              <w:t>221</w:t>
            </w:r>
          </w:p>
        </w:tc>
        <w:tc>
          <w:tcPr>
            <w:tcW w:w="4535" w:type="dxa"/>
            <w:vAlign w:val="center"/>
          </w:tcPr>
          <w:p>
            <w:pPr>
              <w:pStyle w:val="16"/>
              <w:rPr>
                <w:lang w:eastAsia="zh-CN"/>
              </w:rPr>
            </w:pPr>
            <w:r>
              <w:rPr>
                <w:rFonts w:hint="eastAsia"/>
                <w:lang w:eastAsia="zh-CN"/>
              </w:rPr>
              <w:t>住房保障支出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14</w:t>
            </w:r>
          </w:p>
        </w:tc>
        <w:tc>
          <w:tcPr>
            <w:tcW w:w="1191" w:type="dxa"/>
            <w:vAlign w:val="center"/>
          </w:tcPr>
          <w:p>
            <w:pPr>
              <w:pStyle w:val="16"/>
              <w:rPr>
                <w:lang w:eastAsia="zh-CN"/>
              </w:rPr>
            </w:pPr>
            <w:r>
              <w:rPr>
                <w:rFonts w:hint="eastAsia"/>
                <w:lang w:eastAsia="zh-CN"/>
              </w:rPr>
              <w:t>22102</w:t>
            </w:r>
          </w:p>
        </w:tc>
        <w:tc>
          <w:tcPr>
            <w:tcW w:w="4535" w:type="dxa"/>
            <w:vAlign w:val="center"/>
          </w:tcPr>
          <w:p>
            <w:pPr>
              <w:pStyle w:val="16"/>
              <w:rPr>
                <w:lang w:eastAsia="zh-CN"/>
              </w:rPr>
            </w:pPr>
            <w:r>
              <w:rPr>
                <w:rFonts w:hint="eastAsia"/>
                <w:lang w:eastAsia="zh-CN"/>
              </w:rPr>
              <w:t>住房改革支出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15</w:t>
            </w:r>
          </w:p>
        </w:tc>
        <w:tc>
          <w:tcPr>
            <w:tcW w:w="1191" w:type="dxa"/>
            <w:vAlign w:val="center"/>
          </w:tcPr>
          <w:p>
            <w:pPr>
              <w:pStyle w:val="16"/>
              <w:rPr>
                <w:lang w:eastAsia="zh-CN"/>
              </w:rPr>
            </w:pPr>
            <w:r>
              <w:rPr>
                <w:rFonts w:hint="eastAsia"/>
                <w:lang w:eastAsia="zh-CN"/>
              </w:rPr>
              <w:t>2210201</w:t>
            </w:r>
          </w:p>
        </w:tc>
        <w:tc>
          <w:tcPr>
            <w:tcW w:w="4535" w:type="dxa"/>
            <w:vAlign w:val="center"/>
          </w:tcPr>
          <w:p>
            <w:pPr>
              <w:pStyle w:val="16"/>
              <w:rPr>
                <w:lang w:eastAsia="zh-CN"/>
              </w:rPr>
            </w:pPr>
            <w:r>
              <w:rPr>
                <w:rFonts w:hint="eastAsia"/>
                <w:lang w:eastAsia="zh-CN"/>
              </w:rPr>
              <w:t>住房公积金</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lang w:eastAsia="zh-CN"/>
              </w:rPr>
            </w:pPr>
          </w:p>
        </w:tc>
      </w:tr>
    </w:tbl>
    <w:p>
      <w:pPr>
        <w:pStyle w:val="16"/>
        <w:rPr>
          <w:lang w:eastAsia="zh-CN"/>
        </w:rPr>
        <w:sectPr>
          <w:pgSz w:w="16840" w:h="11900" w:orient="landscape"/>
          <w:pgMar w:top="1361" w:right="1020" w:bottom="1134" w:left="1020" w:header="720" w:footer="720" w:gutter="0"/>
          <w:cols w:space="720" w:num="1"/>
        </w:sectPr>
      </w:pPr>
    </w:p>
    <w:p>
      <w:pPr>
        <w:pStyle w:val="16"/>
        <w:jc w:val="center"/>
        <w:rPr>
          <w:rFonts w:ascii="方正小标宋_GBK" w:hAnsi="方正小标宋_GBK" w:eastAsia="方正小标宋_GBK" w:cs="方正小标宋_GBK"/>
          <w:color w:val="000000"/>
          <w:sz w:val="36"/>
          <w:lang w:eastAsia="zh-CN"/>
        </w:rPr>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lang w:eastAsia="zh-CN"/>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202阜平县信访局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1"/>
              <w:rPr>
                <w:lang w:eastAsia="zh-CN"/>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rPr>
                <w:lang w:eastAsia="zh-CN"/>
              </w:rPr>
            </w:pPr>
            <w:r>
              <w:rPr>
                <w:lang w:eastAsia="zh-CN"/>
              </w:rPr>
              <w:t>序号</w:t>
            </w:r>
          </w:p>
        </w:tc>
        <w:tc>
          <w:tcPr>
            <w:tcW w:w="5726" w:type="dxa"/>
            <w:gridSpan w:val="2"/>
            <w:vAlign w:val="center"/>
          </w:tcPr>
          <w:p>
            <w:pPr>
              <w:pStyle w:val="14"/>
              <w:rPr>
                <w:lang w:eastAsia="zh-CN"/>
              </w:rPr>
            </w:pPr>
            <w:r>
              <w:rPr>
                <w:lang w:eastAsia="zh-CN"/>
              </w:rPr>
              <w:t>支出部门经济分类科目</w:t>
            </w:r>
          </w:p>
        </w:tc>
        <w:tc>
          <w:tcPr>
            <w:tcW w:w="7654" w:type="dxa"/>
            <w:gridSpan w:val="3"/>
            <w:vAlign w:val="center"/>
          </w:tcPr>
          <w:p>
            <w:pPr>
              <w:pStyle w:val="14"/>
              <w:rPr>
                <w:lang w:eastAsia="zh-CN"/>
              </w:rPr>
            </w:pPr>
            <w:r>
              <w:rPr>
                <w:lang w:eastAsia="zh-CN"/>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pStyle w:val="14"/>
              <w:rPr>
                <w:lang w:eastAsia="zh-CN"/>
              </w:rPr>
            </w:pPr>
          </w:p>
        </w:tc>
        <w:tc>
          <w:tcPr>
            <w:tcW w:w="1191" w:type="dxa"/>
            <w:vAlign w:val="center"/>
          </w:tcPr>
          <w:p>
            <w:pPr>
              <w:pStyle w:val="14"/>
              <w:rPr>
                <w:lang w:eastAsia="zh-CN"/>
              </w:rPr>
            </w:pPr>
            <w:r>
              <w:rPr>
                <w:lang w:eastAsia="zh-CN"/>
              </w:rPr>
              <w:t>科目编码</w:t>
            </w:r>
          </w:p>
        </w:tc>
        <w:tc>
          <w:tcPr>
            <w:tcW w:w="4535" w:type="dxa"/>
            <w:vAlign w:val="center"/>
          </w:tcPr>
          <w:p>
            <w:pPr>
              <w:pStyle w:val="14"/>
              <w:rPr>
                <w:lang w:eastAsia="zh-CN"/>
              </w:rPr>
            </w:pPr>
            <w:r>
              <w:rPr>
                <w:lang w:eastAsia="zh-CN"/>
              </w:rPr>
              <w:t>科目名称</w:t>
            </w:r>
          </w:p>
        </w:tc>
        <w:tc>
          <w:tcPr>
            <w:tcW w:w="2551" w:type="dxa"/>
            <w:vAlign w:val="center"/>
          </w:tcPr>
          <w:p>
            <w:pPr>
              <w:pStyle w:val="14"/>
              <w:rPr>
                <w:lang w:eastAsia="zh-CN"/>
              </w:rPr>
            </w:pPr>
            <w:r>
              <w:rPr>
                <w:lang w:eastAsia="zh-CN"/>
              </w:rPr>
              <w:t>合计</w:t>
            </w:r>
          </w:p>
        </w:tc>
        <w:tc>
          <w:tcPr>
            <w:tcW w:w="2551" w:type="dxa"/>
            <w:vAlign w:val="center"/>
          </w:tcPr>
          <w:p>
            <w:pPr>
              <w:pStyle w:val="14"/>
              <w:rPr>
                <w:lang w:eastAsia="zh-CN"/>
              </w:rPr>
            </w:pPr>
            <w:r>
              <w:rPr>
                <w:lang w:eastAsia="zh-CN"/>
              </w:rPr>
              <w:t>人员经费</w:t>
            </w:r>
          </w:p>
        </w:tc>
        <w:tc>
          <w:tcPr>
            <w:tcW w:w="2552" w:type="dxa"/>
            <w:vAlign w:val="center"/>
          </w:tcPr>
          <w:p>
            <w:pPr>
              <w:pStyle w:val="14"/>
              <w:rPr>
                <w:lang w:eastAsia="zh-CN"/>
              </w:rPr>
            </w:pPr>
            <w:r>
              <w:rPr>
                <w:lang w:eastAsia="zh-CN"/>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rPr>
                <w:lang w:eastAsia="zh-CN"/>
              </w:rPr>
            </w:pPr>
            <w:r>
              <w:rPr>
                <w:lang w:eastAsia="zh-CN"/>
              </w:rPr>
              <w:t>栏次</w:t>
            </w:r>
          </w:p>
        </w:tc>
        <w:tc>
          <w:tcPr>
            <w:tcW w:w="1191" w:type="dxa"/>
            <w:vAlign w:val="center"/>
          </w:tcPr>
          <w:p>
            <w:pPr>
              <w:pStyle w:val="14"/>
              <w:rPr>
                <w:lang w:eastAsia="zh-CN"/>
              </w:rPr>
            </w:pPr>
            <w:r>
              <w:rPr>
                <w:lang w:eastAsia="zh-CN"/>
              </w:rPr>
              <w:t>1</w:t>
            </w:r>
          </w:p>
        </w:tc>
        <w:tc>
          <w:tcPr>
            <w:tcW w:w="4535" w:type="dxa"/>
            <w:vAlign w:val="center"/>
          </w:tcPr>
          <w:p>
            <w:pPr>
              <w:pStyle w:val="14"/>
              <w:rPr>
                <w:lang w:eastAsia="zh-CN"/>
              </w:rPr>
            </w:pPr>
            <w:r>
              <w:rPr>
                <w:lang w:eastAsia="zh-CN"/>
              </w:rPr>
              <w:t>2</w:t>
            </w:r>
          </w:p>
        </w:tc>
        <w:tc>
          <w:tcPr>
            <w:tcW w:w="2551" w:type="dxa"/>
            <w:vAlign w:val="center"/>
          </w:tcPr>
          <w:p>
            <w:pPr>
              <w:pStyle w:val="14"/>
              <w:rPr>
                <w:lang w:eastAsia="zh-CN"/>
              </w:rPr>
            </w:pPr>
            <w:r>
              <w:rPr>
                <w:lang w:eastAsia="zh-CN"/>
              </w:rPr>
              <w:t>3</w:t>
            </w:r>
          </w:p>
        </w:tc>
        <w:tc>
          <w:tcPr>
            <w:tcW w:w="2551" w:type="dxa"/>
            <w:vAlign w:val="center"/>
          </w:tcPr>
          <w:p>
            <w:pPr>
              <w:pStyle w:val="14"/>
              <w:rPr>
                <w:lang w:eastAsia="zh-CN"/>
              </w:rPr>
            </w:pPr>
            <w:r>
              <w:rPr>
                <w:lang w:eastAsia="zh-CN"/>
              </w:rPr>
              <w:t>4</w:t>
            </w:r>
          </w:p>
        </w:tc>
        <w:tc>
          <w:tcPr>
            <w:tcW w:w="2552" w:type="dxa"/>
            <w:vAlign w:val="center"/>
          </w:tcPr>
          <w:p>
            <w:pPr>
              <w:pStyle w:val="14"/>
              <w:rPr>
                <w:lang w:eastAsia="zh-CN"/>
              </w:rPr>
            </w:pPr>
            <w:r>
              <w:rPr>
                <w:lang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w:t>
            </w:r>
          </w:p>
        </w:tc>
        <w:tc>
          <w:tcPr>
            <w:tcW w:w="1191" w:type="dxa"/>
            <w:vAlign w:val="center"/>
          </w:tcPr>
          <w:p>
            <w:pPr>
              <w:pStyle w:val="16"/>
              <w:rPr>
                <w:lang w:eastAsia="zh-CN"/>
              </w:rPr>
            </w:pPr>
          </w:p>
        </w:tc>
        <w:tc>
          <w:tcPr>
            <w:tcW w:w="4535" w:type="dxa"/>
            <w:vAlign w:val="center"/>
          </w:tcPr>
          <w:p>
            <w:pPr>
              <w:pStyle w:val="16"/>
              <w:rPr>
                <w:lang w:eastAsia="zh-CN"/>
              </w:rPr>
            </w:pPr>
            <w:r>
              <w:rPr>
                <w:rFonts w:hint="eastAsia"/>
                <w:b/>
                <w:bCs/>
                <w:lang w:eastAsia="zh-CN"/>
              </w:rPr>
              <w:t>合计</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107.97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93.19 </w:t>
            </w: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14.78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2</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工资福利支出</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89.51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89.51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3</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30101</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基本工资</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32.77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32.77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4</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30102</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津贴补贴</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16.47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16.47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5</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30103</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奖金</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9.62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9.62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6</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30108</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机关事业单位基本养老保险缴费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7</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30110</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职工基本医疗保险缴费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8</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30111</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公务员医疗补助缴费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9</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30112</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其他社会保障缴费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0.42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0.42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10</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30113</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住房公积金</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11</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商品和服务支出</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14.78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14.78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12</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30201</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办公费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1.50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13</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30202</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印刷费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1.00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14</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30207</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邮电费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3.34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3.34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15</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30211</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差旅费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0.90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0.90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16</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30228</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工会经费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0.10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0.10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17</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30239</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其他交通费用</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7.74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7.74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18</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30299</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其他商品和服务支出</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0.20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0.20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19</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303</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对个人和家庭的补助</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3.69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3.69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20</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30302</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退休费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21</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30305</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生活补助</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0.80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0.80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22</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30309</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奖励金</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0.30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0.30 </w:t>
            </w:r>
          </w:p>
        </w:tc>
        <w:tc>
          <w:tcPr>
            <w:tcW w:w="2552" w:type="dxa"/>
          </w:tcPr>
          <w:p>
            <w:pPr>
              <w:jc w:val="right"/>
              <w:rPr>
                <w:rFonts w:ascii="方正书宋_GBK" w:hAnsi="方正书宋_GBK" w:eastAsia="方正书宋_GBK" w:cs="方正书宋_GBK"/>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jc w:val="center"/>
            </w:pPr>
          </w:p>
        </w:tc>
        <w:tc>
          <w:tcPr>
            <w:tcW w:w="2381" w:type="dxa"/>
            <w:vAlign w:val="center"/>
          </w:tcPr>
          <w:p>
            <w:pPr>
              <w:pStyle w:val="19"/>
              <w:jc w:val="center"/>
              <w:rPr>
                <w:lang w:eastAsia="zh-CN"/>
              </w:rPr>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3</w:t>
            </w:r>
          </w:p>
        </w:tc>
        <w:tc>
          <w:tcPr>
            <w:tcW w:w="3798" w:type="dxa"/>
            <w:vAlign w:val="center"/>
          </w:tcPr>
          <w:p>
            <w:pPr>
              <w:pStyle w:val="16"/>
            </w:pPr>
            <w:r>
              <w:t>二、公务用车购置及运维费</w:t>
            </w:r>
          </w:p>
        </w:tc>
        <w:tc>
          <w:tcPr>
            <w:tcW w:w="2382" w:type="dxa"/>
            <w:vAlign w:val="center"/>
          </w:tcPr>
          <w:p>
            <w:pPr>
              <w:pStyle w:val="19"/>
              <w:jc w:val="center"/>
              <w:rPr>
                <w:b w:val="0"/>
                <w:bCs/>
              </w:rPr>
            </w:pPr>
          </w:p>
        </w:tc>
        <w:tc>
          <w:tcPr>
            <w:tcW w:w="2381" w:type="dxa"/>
            <w:vAlign w:val="center"/>
          </w:tcPr>
          <w:p>
            <w:pPr>
              <w:pStyle w:val="19"/>
              <w:jc w:val="center"/>
              <w:rPr>
                <w:b w:val="0"/>
                <w:bCs/>
              </w:rP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4</w:t>
            </w:r>
          </w:p>
        </w:tc>
        <w:tc>
          <w:tcPr>
            <w:tcW w:w="3798" w:type="dxa"/>
            <w:vAlign w:val="center"/>
          </w:tcPr>
          <w:p>
            <w:pPr>
              <w:pStyle w:val="16"/>
            </w:pPr>
            <w:r>
              <w:t xml:space="preserve">    其中：公务用车购置费</w:t>
            </w:r>
          </w:p>
        </w:tc>
        <w:tc>
          <w:tcPr>
            <w:tcW w:w="2382" w:type="dxa"/>
            <w:vAlign w:val="center"/>
          </w:tcPr>
          <w:p>
            <w:pPr>
              <w:pStyle w:val="15"/>
              <w:jc w:val="center"/>
              <w:rPr>
                <w:bCs/>
              </w:rPr>
            </w:pPr>
          </w:p>
        </w:tc>
        <w:tc>
          <w:tcPr>
            <w:tcW w:w="2381" w:type="dxa"/>
            <w:vAlign w:val="center"/>
          </w:tcPr>
          <w:p>
            <w:pPr>
              <w:pStyle w:val="15"/>
              <w:jc w:val="center"/>
              <w:rPr>
                <w:bCs/>
              </w:rP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5</w:t>
            </w:r>
          </w:p>
        </w:tc>
        <w:tc>
          <w:tcPr>
            <w:tcW w:w="3798" w:type="dxa"/>
            <w:vAlign w:val="center"/>
          </w:tcPr>
          <w:p>
            <w:pPr>
              <w:pStyle w:val="16"/>
            </w:pPr>
            <w:r>
              <w:t xml:space="preserve">          公务用车运行维护费</w:t>
            </w:r>
          </w:p>
        </w:tc>
        <w:tc>
          <w:tcPr>
            <w:tcW w:w="2382" w:type="dxa"/>
            <w:vAlign w:val="center"/>
          </w:tcPr>
          <w:p>
            <w:pPr>
              <w:pStyle w:val="19"/>
              <w:jc w:val="center"/>
              <w:rPr>
                <w:b w:val="0"/>
                <w:bCs/>
              </w:rPr>
            </w:pPr>
          </w:p>
        </w:tc>
        <w:tc>
          <w:tcPr>
            <w:tcW w:w="2381" w:type="dxa"/>
            <w:vAlign w:val="center"/>
          </w:tcPr>
          <w:p>
            <w:pPr>
              <w:pStyle w:val="19"/>
              <w:jc w:val="center"/>
              <w:rPr>
                <w:b w:val="0"/>
                <w:bCs/>
              </w:rP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rPr>
          <w:rFonts w:hint="default" w:eastAsia="方正书宋_GBK"/>
          <w:lang w:val="en-US" w:eastAsia="zh-CN"/>
        </w:rPr>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FFFFFF"/>
          <w:sz w:val="21"/>
          <w:lang w:val="en-US" w:eastAsia="zh-CN"/>
        </w:rPr>
        <w:t>”</w:t>
      </w:r>
      <w:r>
        <w:rPr>
          <w:rFonts w:ascii="方正书宋_GBK" w:hAnsi="方正书宋_GBK" w:eastAsia="方正书宋_GBK" w:cs="方正书宋_GBK"/>
          <w:color w:val="FFFFFF"/>
          <w:sz w:val="21"/>
        </w:rPr>
        <w:t>第一部</w:t>
      </w: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w:t>
      </w:r>
      <w:r>
        <w:rPr>
          <w:rFonts w:hint="eastAsia" w:ascii="方正书宋_GBK" w:hAnsi="方正书宋_GBK" w:eastAsia="方正书宋_GBK" w:cs="方正书宋_GBK"/>
          <w:color w:val="000000"/>
          <w:sz w:val="21"/>
          <w:lang w:val="en-US" w:eastAsia="zh-CN"/>
        </w:rPr>
        <w:t>三公</w:t>
      </w:r>
      <w:r>
        <w:rPr>
          <w:rFonts w:hint="eastAsia" w:ascii="方正书宋_GBK" w:hAnsi="方正书宋_GBK" w:eastAsia="方正书宋_GBK" w:cs="方正书宋_GBK"/>
          <w:color w:val="000000"/>
          <w:sz w:val="21"/>
          <w:lang w:eastAsia="zh-CN"/>
        </w:rPr>
        <w:t>”</w:t>
      </w:r>
      <w:r>
        <w:rPr>
          <w:rFonts w:hint="eastAsia" w:ascii="方正书宋_GBK" w:hAnsi="方正书宋_GBK" w:eastAsia="方正书宋_GBK" w:cs="方正书宋_GBK"/>
          <w:color w:val="000000"/>
          <w:sz w:val="21"/>
          <w:lang w:val="en-US" w:eastAsia="zh-CN"/>
        </w:rPr>
        <w:t>经费</w:t>
      </w:r>
      <w:r>
        <w:rPr>
          <w:rFonts w:ascii="方正书宋_GBK" w:hAnsi="方正书宋_GBK" w:eastAsia="方正书宋_GBK" w:cs="方正书宋_GBK"/>
          <w:color w:val="000000"/>
          <w:sz w:val="21"/>
        </w:rPr>
        <w:t>预算财政拨款预算，空表</w:t>
      </w:r>
      <w:r>
        <w:rPr>
          <w:rFonts w:hint="eastAsia" w:ascii="方正书宋_GBK" w:hAnsi="方正书宋_GBK" w:eastAsia="方正书宋_GBK" w:cs="方正书宋_GBK"/>
          <w:color w:val="000000"/>
          <w:sz w:val="21"/>
          <w:lang w:val="en-US" w:eastAsia="zh-CN"/>
        </w:rPr>
        <w:t>列示。</w:t>
      </w:r>
    </w:p>
    <w:p>
      <w:pPr>
        <w:jc w:val="center"/>
      </w:pPr>
      <w:r>
        <w:rPr>
          <w:rFonts w:hint="eastAsia" w:ascii="方正小标宋_GBK" w:hAnsi="方正小标宋_GBK" w:eastAsia="方正小标宋_GBK" w:cs="方正小标宋_GBK"/>
          <w:color w:val="000000"/>
          <w:sz w:val="44"/>
          <w:lang w:eastAsia="zh-CN"/>
        </w:rPr>
        <w:t>阜平县信访局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rPr>
          <w:rFonts w:eastAsia="方正仿宋_GBK"/>
          <w:color w:val="000000"/>
          <w:sz w:val="28"/>
        </w:rPr>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阜平县信访局</w:t>
      </w:r>
      <w:r>
        <w:rPr>
          <w:rFonts w:eastAsia="方正仿宋_GBK"/>
          <w:color w:val="000000"/>
          <w:sz w:val="28"/>
        </w:rPr>
        <w:t>202</w:t>
      </w:r>
      <w:r>
        <w:rPr>
          <w:rFonts w:hint="eastAsia" w:eastAsia="方正仿宋_GBK"/>
          <w:color w:val="000000"/>
          <w:sz w:val="28"/>
          <w:lang w:eastAsia="zh-CN"/>
        </w:rPr>
        <w:t>3</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ind w:firstLine="641"/>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1"/>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spacing w:line="500" w:lineRule="exact"/>
        <w:ind w:firstLine="560"/>
        <w:rPr>
          <w:rFonts w:eastAsia="方正仿宋_GBK"/>
          <w:color w:val="000000"/>
          <w:sz w:val="28"/>
        </w:rPr>
      </w:pPr>
      <w:r>
        <w:rPr>
          <w:rFonts w:hint="eastAsia" w:eastAsia="方正仿宋_GBK"/>
          <w:color w:val="000000"/>
          <w:sz w:val="28"/>
        </w:rPr>
        <w:t>（一）提出全县信访工作思路，拟定信访工作规范性文件。</w:t>
      </w:r>
    </w:p>
    <w:p>
      <w:pPr>
        <w:spacing w:line="500" w:lineRule="exact"/>
        <w:ind w:firstLine="560"/>
        <w:rPr>
          <w:rFonts w:eastAsia="方正仿宋_GBK"/>
          <w:color w:val="000000"/>
          <w:sz w:val="28"/>
        </w:rPr>
      </w:pPr>
      <w:r>
        <w:rPr>
          <w:rFonts w:hint="eastAsia" w:eastAsia="方正仿宋_GBK"/>
          <w:color w:val="000000"/>
          <w:sz w:val="28"/>
        </w:rPr>
        <w:t>（二）办理人民群众来信，接待群众来访，受理群众网上投诉，协调督办信访案件解决，负责人民群众建议征集工作。</w:t>
      </w:r>
    </w:p>
    <w:p>
      <w:pPr>
        <w:spacing w:line="500" w:lineRule="exact"/>
        <w:ind w:firstLine="560"/>
        <w:rPr>
          <w:rFonts w:eastAsia="方正仿宋_GBK"/>
          <w:color w:val="000000"/>
          <w:sz w:val="28"/>
        </w:rPr>
      </w:pPr>
      <w:r>
        <w:rPr>
          <w:rFonts w:hint="eastAsia" w:eastAsia="方正仿宋_GBK"/>
          <w:color w:val="000000"/>
          <w:sz w:val="28"/>
        </w:rPr>
        <w:t>（三）调查研究和综合分析全县信访形势及信访工作状况，总结推广各地各部门信访工作经验，提出改进和加强信访工作的意见和建议。</w:t>
      </w:r>
    </w:p>
    <w:p>
      <w:pPr>
        <w:spacing w:line="500" w:lineRule="exact"/>
        <w:ind w:firstLine="560"/>
        <w:rPr>
          <w:rFonts w:eastAsia="方正仿宋_GBK"/>
          <w:color w:val="000000"/>
          <w:sz w:val="28"/>
        </w:rPr>
      </w:pPr>
      <w:r>
        <w:rPr>
          <w:rFonts w:hint="eastAsia" w:eastAsia="方正仿宋_GBK"/>
          <w:color w:val="000000"/>
          <w:sz w:val="28"/>
        </w:rPr>
        <w:t>（四）参与组织、协调、指导全县社会治安综合治理和维护社会政治稳定工作，协调保障国家和省、市、县重大政治活动顺利进行，参与处理影响社会政治稳定的突发性、群体性事件。</w:t>
      </w:r>
    </w:p>
    <w:p>
      <w:pPr>
        <w:spacing w:line="500" w:lineRule="exact"/>
        <w:ind w:firstLine="560"/>
        <w:rPr>
          <w:rFonts w:eastAsia="方正仿宋_GBK"/>
          <w:color w:val="000000"/>
          <w:sz w:val="28"/>
        </w:rPr>
      </w:pPr>
      <w:r>
        <w:rPr>
          <w:rFonts w:hint="eastAsia" w:eastAsia="方正仿宋_GBK"/>
          <w:color w:val="000000"/>
          <w:sz w:val="28"/>
        </w:rPr>
        <w:t>（五）督促检查和指导各乡镇党委、政府和县直部门的信访工作。对乡镇党委、政府和县直有关部门信访工作年度责任目标进行考核，对全县社会治安综合治理和维护社会政治稳定年度责任目标中有关信访工作进行考核。</w:t>
      </w:r>
    </w:p>
    <w:p>
      <w:pPr>
        <w:spacing w:line="500" w:lineRule="exact"/>
        <w:ind w:firstLine="560"/>
        <w:rPr>
          <w:rFonts w:eastAsia="方正仿宋_GBK"/>
          <w:color w:val="000000"/>
          <w:sz w:val="28"/>
        </w:rPr>
      </w:pPr>
      <w:r>
        <w:rPr>
          <w:rFonts w:hint="eastAsia" w:eastAsia="方正仿宋_GBK"/>
          <w:color w:val="000000"/>
          <w:sz w:val="28"/>
        </w:rPr>
        <w:t>（六）协助国家和省、市信访局处理阜平县群众进京、赴省、到市上访工作，综合协调处理跨地区、跨部门、跨行业的重要信访问题，协助公安机关维护县委、县政府机关正常工作秩序。</w:t>
      </w:r>
    </w:p>
    <w:p>
      <w:pPr>
        <w:spacing w:line="500" w:lineRule="exact"/>
        <w:ind w:firstLine="560"/>
        <w:rPr>
          <w:rFonts w:eastAsia="方正仿宋_GBK"/>
          <w:color w:val="000000"/>
          <w:sz w:val="28"/>
        </w:rPr>
      </w:pPr>
      <w:r>
        <w:rPr>
          <w:rFonts w:hint="eastAsia" w:eastAsia="方正仿宋_GBK"/>
          <w:color w:val="000000"/>
          <w:sz w:val="28"/>
        </w:rPr>
        <w:t>（七）负责县级领导和县直部门领导公开接访、包联案件和重点信访事项会商的组织协调工作。</w:t>
      </w:r>
    </w:p>
    <w:p>
      <w:pPr>
        <w:spacing w:line="500" w:lineRule="exact"/>
        <w:ind w:firstLine="560"/>
        <w:rPr>
          <w:rFonts w:eastAsia="方正仿宋_GBK"/>
          <w:color w:val="000000"/>
          <w:sz w:val="28"/>
        </w:rPr>
      </w:pPr>
      <w:r>
        <w:rPr>
          <w:rFonts w:hint="eastAsia" w:eastAsia="方正仿宋_GBK"/>
          <w:color w:val="000000"/>
          <w:sz w:val="28"/>
        </w:rPr>
        <w:t>（八）承担阜平县信访工作联席会议的日常工作，督促落实联席会议决定的事项。</w:t>
      </w:r>
    </w:p>
    <w:p>
      <w:pPr>
        <w:spacing w:line="500" w:lineRule="exact"/>
        <w:ind w:firstLine="560"/>
        <w:rPr>
          <w:rFonts w:ascii="方正楷体_GBK" w:hAnsi="方正楷体_GBK" w:eastAsia="方正仿宋_GBK" w:cs="方正楷体_GBK"/>
          <w:b/>
          <w:color w:val="000000"/>
          <w:sz w:val="32"/>
          <w:lang w:eastAsia="zh-CN"/>
        </w:rPr>
      </w:pPr>
      <w:r>
        <w:rPr>
          <w:rFonts w:hint="eastAsia" w:eastAsia="方正仿宋_GBK"/>
          <w:color w:val="000000"/>
          <w:sz w:val="28"/>
        </w:rPr>
        <w:t>（九）完成国家、省、市信访局和县委、县政府交办的其他任务</w:t>
      </w:r>
      <w:r>
        <w:rPr>
          <w:rFonts w:hint="eastAsia" w:eastAsia="方正仿宋_GBK"/>
          <w:color w:val="000000"/>
          <w:sz w:val="28"/>
          <w:lang w:eastAsia="zh-CN"/>
        </w:rPr>
        <w:t>。</w:t>
      </w:r>
    </w:p>
    <w:p>
      <w:pPr>
        <w:ind w:firstLine="640"/>
      </w:pPr>
      <w:r>
        <w:rPr>
          <w:rFonts w:ascii="方正楷体_GBK" w:hAnsi="方正楷体_GBK" w:eastAsia="方正楷体_GBK" w:cs="方正楷体_GBK"/>
          <w:b/>
          <w:color w:val="000000"/>
          <w:sz w:val="32"/>
        </w:rPr>
        <w:t>机构设置：</w:t>
      </w:r>
    </w:p>
    <w:p>
      <w:pPr>
        <w:jc w:val="center"/>
        <w:rPr>
          <w:rFonts w:eastAsia="方正小标宋_GBK" w:cs="方正小标宋_GBK" w:asciiTheme="minorHAnsi" w:hAnsiTheme="minorHAnsi"/>
          <w:color w:val="000000"/>
          <w:sz w:val="32"/>
          <w:lang w:val="uk-UA"/>
        </w:rP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90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3947"/>
        <w:gridCol w:w="1541"/>
        <w:gridCol w:w="1185"/>
        <w:gridCol w:w="2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66" w:hRule="atLeast"/>
          <w:tblHeader/>
          <w:jc w:val="center"/>
        </w:trPr>
        <w:tc>
          <w:tcPr>
            <w:tcW w:w="3947" w:type="dxa"/>
            <w:vMerge w:val="restart"/>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单位名称</w:t>
            </w:r>
          </w:p>
        </w:tc>
        <w:tc>
          <w:tcPr>
            <w:tcW w:w="1541" w:type="dxa"/>
            <w:vMerge w:val="restart"/>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单位性质</w:t>
            </w:r>
          </w:p>
        </w:tc>
        <w:tc>
          <w:tcPr>
            <w:tcW w:w="1185" w:type="dxa"/>
            <w:vMerge w:val="restart"/>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单位规格</w:t>
            </w:r>
          </w:p>
        </w:tc>
        <w:tc>
          <w:tcPr>
            <w:tcW w:w="2402" w:type="dxa"/>
            <w:vMerge w:val="restart"/>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66" w:hRule="atLeast"/>
          <w:tblHeader/>
          <w:jc w:val="center"/>
        </w:trPr>
        <w:tc>
          <w:tcPr>
            <w:tcW w:w="3947" w:type="dxa"/>
            <w:vMerge w:val="continue"/>
            <w:tcBorders>
              <w:top w:val="single" w:color="000000" w:sz="6" w:space="0"/>
              <w:left w:val="single" w:color="000000" w:sz="6" w:space="0"/>
              <w:bottom w:val="single" w:color="000000" w:sz="6" w:space="0"/>
              <w:right w:val="single" w:color="000000" w:sz="6" w:space="0"/>
            </w:tcBorders>
            <w:vAlign w:val="center"/>
          </w:tcPr>
          <w:p>
            <w:pPr>
              <w:pStyle w:val="14"/>
            </w:pPr>
          </w:p>
        </w:tc>
        <w:tc>
          <w:tcPr>
            <w:tcW w:w="1541" w:type="dxa"/>
            <w:vMerge w:val="continue"/>
            <w:tcBorders>
              <w:top w:val="single" w:color="000000" w:sz="6" w:space="0"/>
              <w:left w:val="single" w:color="000000" w:sz="6" w:space="0"/>
              <w:bottom w:val="single" w:color="000000" w:sz="6" w:space="0"/>
              <w:right w:val="single" w:color="000000" w:sz="6" w:space="0"/>
            </w:tcBorders>
            <w:vAlign w:val="center"/>
          </w:tcPr>
          <w:p>
            <w:pPr>
              <w:pStyle w:val="14"/>
            </w:pPr>
          </w:p>
        </w:tc>
        <w:tc>
          <w:tcPr>
            <w:tcW w:w="1185" w:type="dxa"/>
            <w:vMerge w:val="continue"/>
            <w:tcBorders>
              <w:top w:val="single" w:color="000000" w:sz="6" w:space="0"/>
              <w:left w:val="single" w:color="000000" w:sz="6" w:space="0"/>
              <w:bottom w:val="single" w:color="000000" w:sz="6" w:space="0"/>
              <w:right w:val="single" w:color="000000" w:sz="6" w:space="0"/>
            </w:tcBorders>
            <w:vAlign w:val="center"/>
          </w:tcPr>
          <w:p>
            <w:pPr>
              <w:pStyle w:val="14"/>
            </w:pPr>
          </w:p>
        </w:tc>
        <w:tc>
          <w:tcPr>
            <w:tcW w:w="2402" w:type="dxa"/>
            <w:vMerge w:val="continue"/>
            <w:tcBorders>
              <w:top w:val="single" w:color="000000" w:sz="6" w:space="0"/>
              <w:left w:val="single" w:color="000000" w:sz="6" w:space="0"/>
              <w:bottom w:val="single" w:color="000000" w:sz="6" w:space="0"/>
              <w:right w:val="single" w:color="000000" w:sz="6" w:space="0"/>
            </w:tcBorders>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53" w:hRule="atLeast"/>
          <w:jc w:val="center"/>
        </w:trPr>
        <w:tc>
          <w:tcPr>
            <w:tcW w:w="3947" w:type="dxa"/>
            <w:tcBorders>
              <w:top w:val="single" w:color="000000" w:sz="6" w:space="0"/>
              <w:left w:val="single" w:color="000000" w:sz="6" w:space="0"/>
              <w:bottom w:val="single" w:color="000000" w:sz="6" w:space="0"/>
              <w:right w:val="single" w:color="000000" w:sz="6" w:space="0"/>
            </w:tcBorders>
            <w:vAlign w:val="center"/>
          </w:tcPr>
          <w:p>
            <w:pPr>
              <w:pStyle w:val="14"/>
              <w:rPr>
                <w:b w:val="0"/>
              </w:rPr>
            </w:pPr>
            <w:r>
              <w:rPr>
                <w:rFonts w:hint="eastAsia"/>
                <w:b w:val="0"/>
                <w:lang w:eastAsia="zh-CN"/>
              </w:rPr>
              <w:t>阜平县信访局</w:t>
            </w:r>
          </w:p>
        </w:tc>
        <w:tc>
          <w:tcPr>
            <w:tcW w:w="1541" w:type="dxa"/>
            <w:tcBorders>
              <w:top w:val="single" w:color="000000" w:sz="6" w:space="0"/>
              <w:left w:val="single" w:color="000000" w:sz="6" w:space="0"/>
              <w:bottom w:val="single" w:color="000000" w:sz="6" w:space="0"/>
              <w:right w:val="single" w:color="000000" w:sz="6" w:space="0"/>
            </w:tcBorders>
            <w:vAlign w:val="center"/>
          </w:tcPr>
          <w:p>
            <w:pPr>
              <w:pStyle w:val="14"/>
              <w:rPr>
                <w:b w:val="0"/>
              </w:rPr>
            </w:pPr>
            <w:r>
              <w:rPr>
                <w:rFonts w:hint="eastAsia"/>
                <w:b w:val="0"/>
              </w:rPr>
              <w:t>行政</w:t>
            </w:r>
          </w:p>
        </w:tc>
        <w:tc>
          <w:tcPr>
            <w:tcW w:w="1185" w:type="dxa"/>
            <w:tcBorders>
              <w:top w:val="single" w:color="000000" w:sz="6" w:space="0"/>
              <w:left w:val="single" w:color="000000" w:sz="6" w:space="0"/>
              <w:bottom w:val="single" w:color="000000" w:sz="6" w:space="0"/>
              <w:right w:val="single" w:color="000000" w:sz="6" w:space="0"/>
            </w:tcBorders>
            <w:vAlign w:val="center"/>
          </w:tcPr>
          <w:p>
            <w:pPr>
              <w:pStyle w:val="14"/>
              <w:rPr>
                <w:b w:val="0"/>
              </w:rPr>
            </w:pPr>
            <w:r>
              <w:rPr>
                <w:rFonts w:hint="eastAsia"/>
                <w:b w:val="0"/>
                <w:lang w:eastAsia="zh-CN"/>
              </w:rPr>
              <w:t>正科级</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4"/>
              <w:rPr>
                <w:b w:val="0"/>
              </w:rPr>
            </w:pPr>
            <w:r>
              <w:rPr>
                <w:rFonts w:hint="eastAsia"/>
                <w:b w:val="0"/>
              </w:rPr>
              <w:t>财政拨款</w:t>
            </w:r>
          </w:p>
        </w:tc>
      </w:tr>
    </w:tbl>
    <w:p>
      <w:pPr>
        <w:pStyle w:val="14"/>
      </w:pPr>
    </w:p>
    <w:p>
      <w:pPr>
        <w:jc w:val="center"/>
        <w:rPr>
          <w:rFonts w:asciiTheme="minorHAnsi" w:hAnsiTheme="minorHAnsi"/>
          <w:lang w:val="uk-UA"/>
        </w:rPr>
      </w:pPr>
    </w:p>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pPr>
      <w:bookmarkStart w:id="11" w:name="_Toc_3_3_0000000012"/>
      <w:r>
        <w:rPr>
          <w:rFonts w:eastAsia="方正仿宋_GBK"/>
          <w:color w:val="000000"/>
          <w:sz w:val="28"/>
        </w:rPr>
        <w:t>按照预算管理有关规定，目前我</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w:t>
      </w:r>
    </w:p>
    <w:p>
      <w:pPr>
        <w:pStyle w:val="22"/>
      </w:pPr>
      <w:r>
        <w:t>1、收入说明</w:t>
      </w:r>
    </w:p>
    <w:p>
      <w:pPr>
        <w:pStyle w:val="22"/>
      </w:pPr>
      <w:r>
        <w:t>反映本</w:t>
      </w:r>
      <w:r>
        <w:rPr>
          <w:rFonts w:hint="eastAsia"/>
          <w:lang w:eastAsia="zh-CN"/>
        </w:rPr>
        <w:t>单位</w:t>
      </w:r>
      <w:r>
        <w:t>当年全部收入。202</w:t>
      </w:r>
      <w:r>
        <w:rPr>
          <w:rFonts w:hint="eastAsia"/>
          <w:lang w:eastAsia="zh-CN"/>
        </w:rPr>
        <w:t>3</w:t>
      </w:r>
      <w:r>
        <w:t>年预算收入</w:t>
      </w:r>
      <w:r>
        <w:rPr>
          <w:rFonts w:hint="eastAsia"/>
          <w:lang w:eastAsia="zh-CN"/>
        </w:rPr>
        <w:t>185.62</w:t>
      </w:r>
      <w:r>
        <w:t>万元，其中：一般公共预算收入</w:t>
      </w:r>
      <w:r>
        <w:rPr>
          <w:rFonts w:hint="eastAsia"/>
          <w:lang w:eastAsia="zh-CN"/>
        </w:rPr>
        <w:t>152.80</w:t>
      </w:r>
      <w:r>
        <w:t>万元，基金预算收入0万元，国有资本经营预算收入0万元，财政专户核拨收入0万元，单位资金其他收入</w:t>
      </w:r>
      <w:r>
        <w:rPr>
          <w:rFonts w:hint="eastAsia"/>
          <w:lang w:eastAsia="zh-CN"/>
        </w:rPr>
        <w:t>0</w:t>
      </w:r>
      <w:r>
        <w:t>万元，上年结转结余0万元。</w:t>
      </w:r>
    </w:p>
    <w:p>
      <w:pPr>
        <w:pStyle w:val="22"/>
      </w:pPr>
      <w:r>
        <w:t>2、支出说明</w:t>
      </w:r>
    </w:p>
    <w:p>
      <w:pPr>
        <w:pStyle w:val="22"/>
      </w:pPr>
      <w:r>
        <w:t>收支预算总表支出栏、基本支出表、项目支出表按经济分类和支出功能分类科目编制，反映</w:t>
      </w:r>
      <w:r>
        <w:rPr>
          <w:rFonts w:hint="eastAsia"/>
          <w:lang w:eastAsia="zh-CN"/>
        </w:rPr>
        <w:t>阜平县信访局</w:t>
      </w:r>
      <w:r>
        <w:t>年度</w:t>
      </w:r>
      <w:r>
        <w:rPr>
          <w:rFonts w:hint="eastAsia"/>
          <w:lang w:eastAsia="zh-CN"/>
        </w:rPr>
        <w:t>单位</w:t>
      </w:r>
      <w:r>
        <w:t>预算中支出预算的总体情况。202</w:t>
      </w:r>
      <w:r>
        <w:rPr>
          <w:rFonts w:hint="eastAsia"/>
          <w:lang w:eastAsia="zh-CN"/>
        </w:rPr>
        <w:t>3</w:t>
      </w:r>
      <w:r>
        <w:t>年支出预算</w:t>
      </w:r>
      <w:r>
        <w:rPr>
          <w:rFonts w:hint="eastAsia"/>
          <w:lang w:eastAsia="zh-CN"/>
        </w:rPr>
        <w:t>185.62</w:t>
      </w:r>
      <w:r>
        <w:t>万元，其中基本支出</w:t>
      </w:r>
      <w:r>
        <w:rPr>
          <w:rFonts w:hint="eastAsia"/>
          <w:lang w:eastAsia="zh-CN"/>
        </w:rPr>
        <w:t>107.97</w:t>
      </w:r>
      <w:r>
        <w:t>万元，包括人员经费</w:t>
      </w:r>
      <w:r>
        <w:rPr>
          <w:rFonts w:hint="eastAsia"/>
          <w:lang w:eastAsia="zh-CN"/>
        </w:rPr>
        <w:t>93.19</w:t>
      </w:r>
      <w:r>
        <w:t>万元和日常公用经费</w:t>
      </w:r>
      <w:r>
        <w:rPr>
          <w:rFonts w:hint="eastAsia"/>
          <w:lang w:eastAsia="zh-CN"/>
        </w:rPr>
        <w:t>14.78</w:t>
      </w:r>
      <w:r>
        <w:t>万元；项目支出</w:t>
      </w:r>
      <w:r>
        <w:rPr>
          <w:rFonts w:hint="eastAsia"/>
          <w:lang w:eastAsia="zh-CN"/>
        </w:rPr>
        <w:t>77.65</w:t>
      </w:r>
      <w:r>
        <w:t>万元，</w:t>
      </w:r>
      <w:r>
        <w:rPr>
          <w:rFonts w:hint="eastAsia"/>
          <w:lang w:eastAsia="zh-CN"/>
        </w:rPr>
        <w:t>分别</w:t>
      </w:r>
      <w:r>
        <w:t>为</w:t>
      </w:r>
      <w:r>
        <w:rPr>
          <w:rFonts w:hint="eastAsia"/>
          <w:lang w:eastAsia="zh-CN"/>
        </w:rPr>
        <w:t>劳务派遣人员经费和整合资源联合办公经费</w:t>
      </w:r>
      <w:r>
        <w:t>。</w:t>
      </w:r>
    </w:p>
    <w:p>
      <w:pPr>
        <w:pStyle w:val="22"/>
      </w:pPr>
      <w:r>
        <w:t>3、比上年增减情况</w:t>
      </w:r>
    </w:p>
    <w:p>
      <w:pPr>
        <w:pStyle w:val="22"/>
      </w:pPr>
      <w:r>
        <w:t>202</w:t>
      </w:r>
      <w:r>
        <w:rPr>
          <w:rFonts w:hint="eastAsia"/>
          <w:lang w:eastAsia="zh-CN"/>
        </w:rPr>
        <w:t>3</w:t>
      </w:r>
      <w:r>
        <w:t>年预算收支安排</w:t>
      </w:r>
      <w:r>
        <w:rPr>
          <w:rFonts w:hint="eastAsia"/>
          <w:lang w:eastAsia="zh-CN"/>
        </w:rPr>
        <w:t>185.62</w:t>
      </w:r>
      <w:r>
        <w:t>万元，较202</w:t>
      </w:r>
      <w:r>
        <w:rPr>
          <w:rFonts w:hint="eastAsia"/>
          <w:lang w:eastAsia="zh-CN"/>
        </w:rPr>
        <w:t>2</w:t>
      </w:r>
      <w:r>
        <w:t>年</w:t>
      </w:r>
      <w:r>
        <w:rPr>
          <w:rFonts w:hint="eastAsia"/>
          <w:lang w:eastAsia="zh-CN"/>
        </w:rPr>
        <w:t>（199.67万元）</w:t>
      </w:r>
      <w:r>
        <w:t>预算</w:t>
      </w:r>
      <w:r>
        <w:rPr>
          <w:rFonts w:hint="eastAsia"/>
          <w:lang w:eastAsia="zh-CN"/>
        </w:rPr>
        <w:t>减少14.05</w:t>
      </w:r>
      <w:r>
        <w:t>万元，其中：基本支出</w:t>
      </w:r>
      <w:r>
        <w:rPr>
          <w:rFonts w:hint="eastAsia"/>
          <w:lang w:eastAsia="zh-CN"/>
        </w:rPr>
        <w:t>减少13.15</w:t>
      </w:r>
      <w:r>
        <w:t>万元，主要是</w:t>
      </w:r>
      <w:r>
        <w:rPr>
          <w:rFonts w:hint="eastAsia"/>
          <w:lang w:eastAsia="zh-CN"/>
        </w:rPr>
        <w:t>有人员退休，人员经费减少；</w:t>
      </w:r>
      <w:r>
        <w:t>项目支出</w:t>
      </w:r>
      <w:r>
        <w:rPr>
          <w:rFonts w:hint="eastAsia"/>
          <w:lang w:eastAsia="zh-CN"/>
        </w:rPr>
        <w:t>减少0.9万元，主要是减少了整合资源联合办公开支</w:t>
      </w:r>
      <w:r>
        <w:t>。</w:t>
      </w:r>
    </w:p>
    <w:p>
      <w:pPr>
        <w:pStyle w:val="22"/>
      </w:pPr>
    </w:p>
    <w:p>
      <w:pPr>
        <w:spacing w:before="10" w:after="10" w:line="360" w:lineRule="auto"/>
        <w:ind w:firstLine="640"/>
        <w:outlineLvl w:val="2"/>
      </w:pPr>
      <w:r>
        <w:rPr>
          <w:rFonts w:ascii="黑体" w:hAnsi="黑体" w:eastAsia="黑体" w:cs="黑体"/>
          <w:color w:val="000000"/>
          <w:sz w:val="32"/>
        </w:rPr>
        <w:t>三、机关运行经费安排情况</w:t>
      </w:r>
      <w:bookmarkEnd w:id="11"/>
    </w:p>
    <w:p>
      <w:pPr>
        <w:pStyle w:val="23"/>
      </w:pPr>
      <w:bookmarkStart w:id="12" w:name="_Toc_3_3_0000000013"/>
      <w:r>
        <w:t>202</w:t>
      </w:r>
      <w:r>
        <w:rPr>
          <w:rFonts w:hint="eastAsia"/>
          <w:lang w:eastAsia="zh-CN"/>
        </w:rPr>
        <w:t>3</w:t>
      </w:r>
      <w:r>
        <w:t>年，我</w:t>
      </w:r>
      <w:r>
        <w:rPr>
          <w:rFonts w:hint="eastAsia"/>
          <w:lang w:eastAsia="zh-CN"/>
        </w:rPr>
        <w:t>单位</w:t>
      </w:r>
      <w:r>
        <w:t>运行经费共计安排</w:t>
      </w:r>
      <w:r>
        <w:rPr>
          <w:rFonts w:hint="eastAsia"/>
          <w:lang w:eastAsia="zh-CN"/>
        </w:rPr>
        <w:t>14.78</w:t>
      </w:r>
      <w:r>
        <w:t>万元，主要用于</w:t>
      </w:r>
      <w:r>
        <w:rPr>
          <w:rFonts w:hint="eastAsia"/>
          <w:lang w:eastAsia="zh-CN"/>
        </w:rPr>
        <w:t>差旅</w:t>
      </w:r>
      <w:r>
        <w:t>、</w:t>
      </w:r>
      <w:r>
        <w:rPr>
          <w:rFonts w:hint="eastAsia"/>
          <w:lang w:eastAsia="zh-CN"/>
        </w:rPr>
        <w:t>邮电、</w:t>
      </w:r>
      <w:r>
        <w:t>办公等日常运行支出。</w:t>
      </w:r>
    </w:p>
    <w:p>
      <w:pPr>
        <w:pStyle w:val="23"/>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2"/>
    </w:p>
    <w:p>
      <w:pPr>
        <w:pStyle w:val="24"/>
      </w:pPr>
      <w:bookmarkStart w:id="13" w:name="_Toc_3_3_0000000014"/>
      <w:r>
        <w:t>202</w:t>
      </w:r>
      <w:r>
        <w:rPr>
          <w:rFonts w:hint="eastAsia"/>
          <w:lang w:eastAsia="zh-CN"/>
        </w:rPr>
        <w:t>3</w:t>
      </w:r>
      <w:r>
        <w:t>年，我</w:t>
      </w:r>
      <w:r>
        <w:rPr>
          <w:rFonts w:hint="eastAsia"/>
          <w:lang w:eastAsia="zh-CN"/>
        </w:rPr>
        <w:t>单位</w:t>
      </w:r>
      <w:r>
        <w:t>财政拨款“三公”经费预算安排</w:t>
      </w:r>
      <w:r>
        <w:rPr>
          <w:rFonts w:hint="eastAsia"/>
          <w:lang w:eastAsia="zh-CN"/>
        </w:rPr>
        <w:t>0</w:t>
      </w:r>
      <w:r>
        <w:t>万元，其中因公出国（境）费</w:t>
      </w:r>
      <w:r>
        <w:rPr>
          <w:rFonts w:hint="eastAsia"/>
          <w:lang w:eastAsia="zh-CN"/>
        </w:rPr>
        <w:t>0</w:t>
      </w:r>
      <w:r>
        <w:t>万元；公务用车购置及运维费</w:t>
      </w:r>
      <w:r>
        <w:rPr>
          <w:rFonts w:hint="eastAsia"/>
          <w:lang w:eastAsia="zh-CN"/>
        </w:rPr>
        <w:t>0</w:t>
      </w:r>
      <w:r>
        <w:t>万元（其中：公务用车购置费为0万元，公务用车运维费</w:t>
      </w:r>
      <w:r>
        <w:rPr>
          <w:rFonts w:hint="eastAsia"/>
          <w:lang w:eastAsia="zh-CN"/>
        </w:rPr>
        <w:t>0</w:t>
      </w:r>
      <w:r>
        <w:t>万元)；公务接待费</w:t>
      </w:r>
      <w:r>
        <w:rPr>
          <w:rFonts w:hint="eastAsia"/>
          <w:lang w:eastAsia="zh-CN"/>
        </w:rPr>
        <w:t>0</w:t>
      </w:r>
      <w:r>
        <w:t>万元。与202</w:t>
      </w:r>
      <w:r>
        <w:rPr>
          <w:rFonts w:hint="eastAsia"/>
          <w:lang w:eastAsia="zh-CN"/>
        </w:rPr>
        <w:t>2</w:t>
      </w:r>
      <w:r>
        <w:t>年相比</w:t>
      </w:r>
      <w:r>
        <w:rPr>
          <w:rFonts w:hint="eastAsia"/>
          <w:lang w:eastAsia="zh-CN"/>
        </w:rPr>
        <w:t>，减少3万元</w:t>
      </w:r>
      <w:r>
        <w:t>。</w:t>
      </w:r>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firstLineChars="200"/>
      </w:pPr>
      <w:r>
        <w:rPr>
          <w:rFonts w:eastAsia="方正仿宋_GBK"/>
          <w:color w:val="000000"/>
          <w:sz w:val="28"/>
        </w:rPr>
        <w:t>（一）总体绩效目标</w:t>
      </w:r>
    </w:p>
    <w:p>
      <w:pPr>
        <w:ind w:firstLine="560" w:firstLineChars="200"/>
        <w:rPr>
          <w:rFonts w:eastAsia="方正仿宋_GBK"/>
          <w:color w:val="000000"/>
          <w:sz w:val="28"/>
        </w:rPr>
      </w:pPr>
      <w:r>
        <w:rPr>
          <w:rFonts w:hint="eastAsia" w:eastAsia="方正仿宋_GBK"/>
          <w:color w:val="000000"/>
          <w:sz w:val="28"/>
        </w:rPr>
        <w:t>贯彻落实《信访条例》为基准，</w:t>
      </w:r>
      <w:r>
        <w:rPr>
          <w:rFonts w:hint="eastAsia" w:eastAsia="方正仿宋_GBK"/>
          <w:color w:val="000000"/>
          <w:sz w:val="28"/>
          <w:lang w:eastAsia="zh-CN"/>
        </w:rPr>
        <w:t>以持续开展重信治理、积案化解攻坚、初访办理和重点领域重点问题专项治理、依法信访宣传为重点，以领导接访、引导网上信访为抓手，狠抓问题解决</w:t>
      </w:r>
      <w:r>
        <w:rPr>
          <w:rFonts w:hint="eastAsia" w:eastAsia="方正仿宋_GBK"/>
          <w:color w:val="000000"/>
          <w:sz w:val="28"/>
        </w:rPr>
        <w:t>，规范信访秩序，</w:t>
      </w:r>
      <w:r>
        <w:rPr>
          <w:rFonts w:hint="eastAsia" w:eastAsia="方正仿宋_GBK"/>
          <w:color w:val="000000"/>
          <w:sz w:val="28"/>
          <w:lang w:eastAsia="zh-CN"/>
        </w:rPr>
        <w:t>保障国家、省、市、县重大活动的顺利进行，力争实现到北京非接待场所、进京和赴省集访和极端事件零指标，严格控制进京访，确保全县社会大局和谐稳定</w:t>
      </w:r>
      <w:r>
        <w:rPr>
          <w:rFonts w:hint="eastAsia" w:eastAsia="方正仿宋_GBK"/>
          <w:color w:val="000000"/>
          <w:sz w:val="28"/>
        </w:rPr>
        <w:t>。</w:t>
      </w:r>
    </w:p>
    <w:p>
      <w:pPr>
        <w:ind w:firstLine="805"/>
        <w:rPr>
          <w:rFonts w:eastAsia="方正仿宋_GBK"/>
          <w:color w:val="000000"/>
          <w:sz w:val="28"/>
          <w:lang w:eastAsia="zh-CN"/>
        </w:rPr>
      </w:pPr>
      <w:r>
        <w:rPr>
          <w:rFonts w:hint="eastAsia" w:eastAsia="方正仿宋_GBK"/>
          <w:color w:val="000000"/>
          <w:sz w:val="28"/>
        </w:rPr>
        <w:t>1、</w:t>
      </w:r>
      <w:r>
        <w:rPr>
          <w:rFonts w:hint="eastAsia" w:eastAsia="方正仿宋_GBK"/>
          <w:color w:val="000000"/>
          <w:sz w:val="28"/>
          <w:lang w:eastAsia="zh-CN"/>
        </w:rPr>
        <w:t>全力</w:t>
      </w:r>
      <w:r>
        <w:rPr>
          <w:rFonts w:hint="eastAsia" w:eastAsia="方正仿宋_GBK"/>
          <w:color w:val="000000"/>
          <w:sz w:val="28"/>
        </w:rPr>
        <w:t>打造效能信访</w:t>
      </w:r>
      <w:r>
        <w:rPr>
          <w:rFonts w:hint="eastAsia" w:eastAsia="方正仿宋_GBK"/>
          <w:color w:val="000000"/>
          <w:sz w:val="28"/>
          <w:lang w:eastAsia="zh-CN"/>
        </w:rPr>
        <w:t>：及时受理率、按照答复率达到100%，群众满意率达到90%。到北京非接待场所、进京和赴省集访和极端事件为零；将大量群众走访吸附在县内,实现进京、赴省单户访较去年下降3.33%目标。</w:t>
      </w:r>
    </w:p>
    <w:p>
      <w:pPr>
        <w:ind w:firstLine="803"/>
        <w:rPr>
          <w:rFonts w:eastAsia="方正仿宋_GBK"/>
          <w:color w:val="000000"/>
          <w:sz w:val="28"/>
          <w:lang w:eastAsia="zh-CN"/>
        </w:rPr>
      </w:pPr>
      <w:r>
        <w:rPr>
          <w:rFonts w:hint="eastAsia" w:eastAsia="方正仿宋_GBK"/>
          <w:color w:val="000000"/>
          <w:sz w:val="28"/>
        </w:rPr>
        <w:t>2、</w:t>
      </w:r>
      <w:r>
        <w:rPr>
          <w:rFonts w:hint="eastAsia" w:eastAsia="方正仿宋_GBK"/>
          <w:color w:val="000000"/>
          <w:sz w:val="28"/>
          <w:lang w:eastAsia="zh-CN"/>
        </w:rPr>
        <w:t>全力打造阳光信访：信访信息系统互通互联，开通网上信访渠道，让群众足不出户就能表达利益诉求，网上信访件可跟踪、可查询，实现网上信访占走访的50%。</w:t>
      </w:r>
    </w:p>
    <w:p>
      <w:pPr>
        <w:ind w:firstLine="803"/>
        <w:rPr>
          <w:rFonts w:eastAsia="方正仿宋_GBK"/>
          <w:color w:val="000000"/>
          <w:sz w:val="28"/>
        </w:rPr>
      </w:pPr>
      <w:r>
        <w:rPr>
          <w:rFonts w:hint="eastAsia" w:eastAsia="方正仿宋_GBK"/>
          <w:color w:val="000000"/>
          <w:sz w:val="28"/>
          <w:lang w:eastAsia="zh-CN"/>
        </w:rPr>
        <w:t>3、全力打造责任信访：砸实工作责任，积极协调解决群众合理诉求，初信初访化解率达到70%，有效遏制重复信访：重复信访较去年下降34.65%。</w:t>
      </w:r>
    </w:p>
    <w:p>
      <w:pPr>
        <w:pStyle w:val="25"/>
        <w:rPr>
          <w:color w:val="000000"/>
        </w:rPr>
      </w:pPr>
    </w:p>
    <w:p>
      <w:pPr>
        <w:spacing w:line="500" w:lineRule="exact"/>
        <w:ind w:firstLine="560"/>
        <w:rPr>
          <w:rFonts w:eastAsia="方正仿宋_GBK"/>
          <w:color w:val="000000"/>
          <w:sz w:val="28"/>
        </w:rPr>
      </w:pPr>
      <w:r>
        <w:rPr>
          <w:rFonts w:eastAsia="方正仿宋_GBK"/>
          <w:color w:val="000000"/>
          <w:sz w:val="28"/>
        </w:rPr>
        <w:t>（二）分项绩效目标</w:t>
      </w:r>
    </w:p>
    <w:p>
      <w:pPr>
        <w:ind w:firstLine="560" w:firstLineChars="200"/>
        <w:rPr>
          <w:rFonts w:eastAsia="方正仿宋_GBK"/>
          <w:sz w:val="28"/>
        </w:rPr>
      </w:pPr>
      <w:r>
        <w:rPr>
          <w:rFonts w:hint="eastAsia" w:eastAsia="方正仿宋_GBK"/>
          <w:sz w:val="28"/>
          <w:lang w:eastAsia="zh-CN"/>
        </w:rPr>
        <w:t>1、</w:t>
      </w:r>
      <w:r>
        <w:rPr>
          <w:rFonts w:hint="eastAsia" w:eastAsia="方正仿宋_GBK"/>
          <w:sz w:val="28"/>
        </w:rPr>
        <w:t>产出指标：</w:t>
      </w:r>
    </w:p>
    <w:p>
      <w:pPr>
        <w:ind w:firstLine="560" w:firstLineChars="200"/>
        <w:rPr>
          <w:rFonts w:eastAsia="方正仿宋_GBK"/>
          <w:sz w:val="28"/>
        </w:rPr>
      </w:pPr>
      <w:r>
        <w:rPr>
          <w:rFonts w:hint="eastAsia" w:eastAsia="方正仿宋_GBK"/>
          <w:sz w:val="28"/>
          <w:lang w:eastAsia="zh-CN"/>
        </w:rPr>
        <w:t xml:space="preserve">(1) </w:t>
      </w:r>
      <w:r>
        <w:rPr>
          <w:rFonts w:hint="eastAsia" w:eastAsia="方正仿宋_GBK"/>
          <w:sz w:val="28"/>
        </w:rPr>
        <w:t>信访事项及时受理率:按照相关规定和业务流程，及时受理群众来信、来访、越级上访和网上信访的信访案件，有效处理群众到市、赴省、进京上访的数量占全部信访量的比率。此指标值需≥80%。</w:t>
      </w:r>
    </w:p>
    <w:p>
      <w:pPr>
        <w:ind w:firstLine="560" w:firstLineChars="200"/>
        <w:rPr>
          <w:rFonts w:eastAsia="方正仿宋_GBK"/>
          <w:sz w:val="28"/>
        </w:rPr>
      </w:pPr>
      <w:r>
        <w:rPr>
          <w:rFonts w:hint="eastAsia" w:eastAsia="方正仿宋_GBK"/>
          <w:sz w:val="28"/>
          <w:lang w:eastAsia="zh-CN"/>
        </w:rPr>
        <w:t xml:space="preserve">(2) </w:t>
      </w:r>
      <w:r>
        <w:rPr>
          <w:rFonts w:hint="eastAsia" w:eastAsia="方正仿宋_GBK"/>
          <w:sz w:val="28"/>
        </w:rPr>
        <w:t>群体性事件成功处置率：协助公安机关维护重点区域的正常工作秩序；成功处置影响社会政治稳定的各类非访、突发性、群体性事件的比率。此指标值需≥85%。</w:t>
      </w:r>
    </w:p>
    <w:p>
      <w:pPr>
        <w:ind w:firstLine="560" w:firstLineChars="200"/>
        <w:rPr>
          <w:rFonts w:eastAsia="方正仿宋_GBK"/>
          <w:sz w:val="28"/>
        </w:rPr>
      </w:pPr>
      <w:r>
        <w:rPr>
          <w:rFonts w:hint="eastAsia" w:eastAsia="方正仿宋_GBK"/>
          <w:sz w:val="28"/>
          <w:lang w:eastAsia="zh-CN"/>
        </w:rPr>
        <w:t xml:space="preserve">(3) </w:t>
      </w:r>
      <w:r>
        <w:rPr>
          <w:rFonts w:hint="eastAsia" w:eastAsia="方正仿宋_GBK"/>
          <w:sz w:val="28"/>
        </w:rPr>
        <w:t>信访事项按期办结率：</w:t>
      </w:r>
      <w:r>
        <w:rPr>
          <w:rFonts w:hint="eastAsia" w:eastAsia="方正仿宋_GBK"/>
          <w:sz w:val="28"/>
          <w:lang w:eastAsia="zh-CN"/>
        </w:rPr>
        <w:t xml:space="preserve"> </w:t>
      </w:r>
      <w:r>
        <w:rPr>
          <w:rFonts w:hint="eastAsia" w:eastAsia="方正仿宋_GBK"/>
          <w:sz w:val="28"/>
        </w:rPr>
        <w:t>按照相关规定和业务流程，按期办结来信、来访、上级交办的信访案件以及信访积案数占全部信访案件的比率。此指标值需≥80%。</w:t>
      </w:r>
    </w:p>
    <w:p>
      <w:pPr>
        <w:ind w:firstLine="560" w:firstLineChars="200"/>
        <w:rPr>
          <w:rFonts w:eastAsia="方正仿宋_GBK"/>
          <w:sz w:val="28"/>
        </w:rPr>
      </w:pPr>
      <w:r>
        <w:rPr>
          <w:rFonts w:hint="eastAsia" w:eastAsia="方正仿宋_GBK"/>
          <w:sz w:val="28"/>
          <w:lang w:eastAsia="zh-CN"/>
        </w:rPr>
        <w:t xml:space="preserve">(4) </w:t>
      </w:r>
      <w:r>
        <w:rPr>
          <w:rFonts w:hint="eastAsia" w:eastAsia="方正仿宋_GBK"/>
          <w:sz w:val="28"/>
        </w:rPr>
        <w:t>预算完成率：</w:t>
      </w:r>
      <w:r>
        <w:rPr>
          <w:rFonts w:hint="eastAsia" w:eastAsia="方正仿宋_GBK"/>
          <w:sz w:val="28"/>
          <w:lang w:eastAsia="zh-CN"/>
        </w:rPr>
        <w:t xml:space="preserve"> </w:t>
      </w:r>
      <w:r>
        <w:rPr>
          <w:rFonts w:hint="eastAsia" w:eastAsia="方正仿宋_GBK"/>
          <w:sz w:val="28"/>
        </w:rPr>
        <w:t>本年度部门的实际支出经费金额占年初财政预算批复金额的比率。此指标值需≥75%。</w:t>
      </w:r>
    </w:p>
    <w:p>
      <w:pPr>
        <w:ind w:firstLine="560" w:firstLineChars="200"/>
        <w:rPr>
          <w:rFonts w:eastAsia="方正仿宋_GBK"/>
          <w:sz w:val="28"/>
          <w:lang w:eastAsia="zh-CN"/>
        </w:rPr>
      </w:pPr>
      <w:r>
        <w:rPr>
          <w:rFonts w:hint="eastAsia" w:eastAsia="方正仿宋_GBK"/>
          <w:sz w:val="28"/>
          <w:lang w:eastAsia="zh-CN"/>
        </w:rPr>
        <w:t>2、</w:t>
      </w:r>
      <w:r>
        <w:rPr>
          <w:rFonts w:hint="eastAsia" w:eastAsia="方正仿宋_GBK"/>
          <w:sz w:val="28"/>
        </w:rPr>
        <w:t>效益指标</w:t>
      </w:r>
      <w:r>
        <w:rPr>
          <w:rFonts w:hint="eastAsia" w:eastAsia="方正仿宋_GBK"/>
          <w:sz w:val="28"/>
          <w:lang w:eastAsia="zh-CN"/>
        </w:rPr>
        <w:t>：</w:t>
      </w:r>
    </w:p>
    <w:p>
      <w:pPr>
        <w:ind w:firstLine="560" w:firstLineChars="200"/>
        <w:rPr>
          <w:rFonts w:eastAsia="方正仿宋_GBK"/>
          <w:sz w:val="28"/>
        </w:rPr>
      </w:pPr>
      <w:r>
        <w:rPr>
          <w:rFonts w:hint="eastAsia" w:eastAsia="方正仿宋_GBK"/>
          <w:sz w:val="28"/>
          <w:lang w:eastAsia="zh-CN"/>
        </w:rPr>
        <w:t xml:space="preserve">(1) </w:t>
      </w:r>
      <w:r>
        <w:rPr>
          <w:rFonts w:hint="eastAsia" w:eastAsia="方正仿宋_GBK"/>
          <w:sz w:val="28"/>
        </w:rPr>
        <w:t>维护社会稳定率：</w:t>
      </w:r>
      <w:r>
        <w:rPr>
          <w:rFonts w:hint="eastAsia" w:eastAsia="方正仿宋_GBK"/>
          <w:sz w:val="28"/>
          <w:lang w:eastAsia="zh-CN"/>
        </w:rPr>
        <w:t xml:space="preserve"> </w:t>
      </w:r>
      <w:r>
        <w:rPr>
          <w:rFonts w:hint="eastAsia" w:eastAsia="方正仿宋_GBK"/>
          <w:sz w:val="28"/>
        </w:rPr>
        <w:t>通过项目的开展，资金的拨付与使用，保障人员工资保险，保障信访业务工作正常开展，维护社会稳定的情况。此指标值需≥85%。</w:t>
      </w:r>
    </w:p>
    <w:p>
      <w:pPr>
        <w:ind w:left="182" w:leftChars="76" w:firstLine="420" w:firstLineChars="150"/>
        <w:rPr>
          <w:rFonts w:eastAsia="方正仿宋_GBK"/>
          <w:sz w:val="28"/>
        </w:rPr>
      </w:pPr>
      <w:r>
        <w:rPr>
          <w:rFonts w:hint="eastAsia" w:eastAsia="方正仿宋_GBK"/>
          <w:sz w:val="28"/>
          <w:lang w:eastAsia="zh-CN"/>
        </w:rPr>
        <w:t xml:space="preserve">(2) </w:t>
      </w:r>
      <w:r>
        <w:rPr>
          <w:rFonts w:hint="eastAsia" w:eastAsia="方正仿宋_GBK"/>
          <w:sz w:val="28"/>
        </w:rPr>
        <w:t>工作效率提升率：通过项目的开展，资金拨付使用，保障人员工资保险按时足额发放，保障群众工作中心的正常办公运转，提高信访干部业务能力；改进信访工作；提高信访信息化应用水平，畅通信访渠道，提高信访事项办理质量和效率。此指标值需≥85%。</w:t>
      </w:r>
    </w:p>
    <w:p>
      <w:pPr>
        <w:ind w:firstLine="560" w:firstLineChars="200"/>
        <w:rPr>
          <w:rFonts w:eastAsia="方正仿宋_GBK"/>
          <w:sz w:val="28"/>
        </w:rPr>
      </w:pPr>
      <w:r>
        <w:rPr>
          <w:rFonts w:hint="eastAsia" w:eastAsia="方正仿宋_GBK"/>
          <w:sz w:val="28"/>
          <w:lang w:eastAsia="zh-CN"/>
        </w:rPr>
        <w:t xml:space="preserve">(3) </w:t>
      </w:r>
      <w:r>
        <w:rPr>
          <w:rFonts w:hint="eastAsia" w:eastAsia="方正仿宋_GBK"/>
          <w:sz w:val="28"/>
        </w:rPr>
        <w:t>信访事项办理满意率：</w:t>
      </w:r>
      <w:r>
        <w:rPr>
          <w:rFonts w:hint="eastAsia" w:eastAsia="方正仿宋_GBK"/>
          <w:sz w:val="28"/>
          <w:lang w:eastAsia="zh-CN"/>
        </w:rPr>
        <w:t xml:space="preserve"> </w:t>
      </w:r>
      <w:r>
        <w:rPr>
          <w:rFonts w:hint="eastAsia" w:eastAsia="方正仿宋_GBK"/>
          <w:sz w:val="28"/>
        </w:rPr>
        <w:t>通过信访人对案件办理情况的满意度测评工作的开展，满意案件数占参评价案件数的比率。此指标值需≥70%。</w:t>
      </w:r>
    </w:p>
    <w:p>
      <w:pPr>
        <w:ind w:firstLine="560" w:firstLineChars="200"/>
        <w:rPr>
          <w:rFonts w:eastAsia="方正仿宋_GBK"/>
          <w:sz w:val="28"/>
        </w:rPr>
      </w:pPr>
      <w:r>
        <w:rPr>
          <w:rFonts w:hint="eastAsia" w:eastAsia="方正仿宋_GBK"/>
          <w:sz w:val="28"/>
          <w:lang w:eastAsia="zh-CN"/>
        </w:rPr>
        <w:t xml:space="preserve">(4) </w:t>
      </w:r>
      <w:r>
        <w:rPr>
          <w:rFonts w:hint="eastAsia" w:eastAsia="方正仿宋_GBK"/>
          <w:sz w:val="28"/>
        </w:rPr>
        <w:t>群众认可率：群众对实行网上信访、一站式接待、约访、领导公开接访等信访形式的认可程度。此指标值需≥85%。</w:t>
      </w:r>
    </w:p>
    <w:p>
      <w:pPr>
        <w:ind w:firstLine="560" w:firstLineChars="200"/>
        <w:rPr>
          <w:rFonts w:eastAsia="方正仿宋_GBK"/>
          <w:sz w:val="28"/>
        </w:rPr>
      </w:pPr>
      <w:r>
        <w:rPr>
          <w:rFonts w:hint="eastAsia" w:eastAsia="方正仿宋_GBK"/>
          <w:sz w:val="28"/>
          <w:lang w:eastAsia="zh-CN"/>
        </w:rPr>
        <w:t>3、</w:t>
      </w:r>
      <w:r>
        <w:rPr>
          <w:rFonts w:hint="eastAsia" w:eastAsia="方正仿宋_GBK"/>
          <w:sz w:val="28"/>
        </w:rPr>
        <w:t>群众满意率：通过抽样调查的方式，对来访群众进行问卷调查，来访群众对服务质量和信访案件办理的满意程度。此指标值需≥80%。</w:t>
      </w:r>
    </w:p>
    <w:p>
      <w:pPr>
        <w:ind w:firstLine="560" w:firstLineChars="200"/>
        <w:rPr>
          <w:rFonts w:eastAsia="方正仿宋_GBK"/>
          <w:sz w:val="28"/>
        </w:rPr>
      </w:pPr>
    </w:p>
    <w:p>
      <w:pPr>
        <w:spacing w:line="500" w:lineRule="exact"/>
        <w:ind w:firstLine="560"/>
        <w:rPr>
          <w:rFonts w:eastAsia="方正仿宋_GBK"/>
          <w:color w:val="000000"/>
          <w:sz w:val="28"/>
          <w:lang w:val="uk-UA"/>
        </w:rPr>
      </w:pPr>
      <w:r>
        <w:rPr>
          <w:rFonts w:eastAsia="方正仿宋_GBK"/>
          <w:color w:val="000000"/>
          <w:sz w:val="28"/>
        </w:rPr>
        <w:t>（三）工作保障措施</w:t>
      </w:r>
    </w:p>
    <w:p>
      <w:pPr>
        <w:ind w:firstLine="627"/>
        <w:rPr>
          <w:rFonts w:eastAsia="方正仿宋_GBK"/>
          <w:sz w:val="28"/>
          <w:lang w:eastAsia="zh-CN"/>
        </w:rPr>
      </w:pPr>
      <w:r>
        <w:rPr>
          <w:rFonts w:hint="eastAsia" w:eastAsia="方正仿宋_GBK"/>
          <w:sz w:val="28"/>
          <w:lang w:eastAsia="zh-CN"/>
        </w:rPr>
        <w:t>1、规范群众工作运行，</w:t>
      </w:r>
      <w:r>
        <w:rPr>
          <w:rFonts w:eastAsia="方正仿宋_GBK"/>
          <w:sz w:val="28"/>
        </w:rPr>
        <w:t>完善群众工作中心各项内部管理机制</w:t>
      </w:r>
      <w:r>
        <w:rPr>
          <w:rFonts w:hint="eastAsia" w:eastAsia="方正仿宋_GBK"/>
          <w:sz w:val="28"/>
          <w:lang w:eastAsia="zh-CN"/>
        </w:rPr>
        <w:t>。</w:t>
      </w:r>
    </w:p>
    <w:p>
      <w:pPr>
        <w:ind w:firstLine="627"/>
        <w:rPr>
          <w:rFonts w:eastAsia="方正仿宋_GBK"/>
          <w:sz w:val="28"/>
        </w:rPr>
      </w:pPr>
      <w:r>
        <w:rPr>
          <w:rFonts w:hint="eastAsia" w:eastAsia="方正仿宋_GBK"/>
          <w:sz w:val="28"/>
          <w:lang w:eastAsia="zh-CN"/>
        </w:rPr>
        <w:t>一是强化窗口接访。整合自然资源和规划、农业农村和水利、民政、退役军人事务、交通、教体、人社、发改及政法各部门行政司法资源，常设综合接访、城建、社会事务、民生保障、农业农村、涉法涉诉、退役军人事务等9个专门接访窗口，根据需要适时增加农民工欠薪上访专门接访窗口。</w:t>
      </w:r>
      <w:r>
        <w:rPr>
          <w:rFonts w:eastAsia="方正仿宋_GBK"/>
          <w:sz w:val="28"/>
        </w:rPr>
        <w:t>完善“一站式接待”、“一厅式办理”、“一揽子解决”，打造效能信访。</w:t>
      </w:r>
    </w:p>
    <w:p>
      <w:pPr>
        <w:ind w:firstLine="627"/>
        <w:rPr>
          <w:rFonts w:eastAsia="方正仿宋_GBK"/>
          <w:sz w:val="28"/>
        </w:rPr>
      </w:pPr>
      <w:r>
        <w:rPr>
          <w:rFonts w:hint="eastAsia" w:eastAsia="方正仿宋_GBK"/>
          <w:sz w:val="28"/>
          <w:lang w:eastAsia="zh-CN"/>
        </w:rPr>
        <w:t>二是完善工作网络。</w:t>
      </w:r>
      <w:r>
        <w:rPr>
          <w:rFonts w:eastAsia="方正仿宋_GBK"/>
          <w:sz w:val="28"/>
        </w:rPr>
        <w:t>健全和完善乡镇、村群众工作站、工作室工作网络，形成以县工作中心为统领，以乡镇群众工作站为阵地，以村级群众工作室为基础的三级群众工作网络。</w:t>
      </w:r>
    </w:p>
    <w:p>
      <w:pPr>
        <w:ind w:firstLine="560" w:firstLineChars="200"/>
        <w:rPr>
          <w:rFonts w:eastAsia="方正仿宋_GBK"/>
          <w:sz w:val="28"/>
          <w:lang w:eastAsia="zh-CN"/>
        </w:rPr>
      </w:pPr>
      <w:r>
        <w:rPr>
          <w:rFonts w:hint="eastAsia" w:eastAsia="方正仿宋_GBK"/>
          <w:sz w:val="28"/>
          <w:lang w:eastAsia="zh-CN"/>
        </w:rPr>
        <w:t>三是提升服务能力。</w:t>
      </w:r>
      <w:r>
        <w:rPr>
          <w:rFonts w:hint="eastAsia" w:eastAsia="方正仿宋_GBK"/>
          <w:sz w:val="28"/>
        </w:rPr>
        <w:t>以党史学习教育</w:t>
      </w:r>
      <w:bookmarkStart w:id="20" w:name="_GoBack"/>
      <w:bookmarkEnd w:id="20"/>
      <w:r>
        <w:rPr>
          <w:rFonts w:hint="eastAsia" w:eastAsia="方正仿宋_GBK"/>
          <w:sz w:val="28"/>
        </w:rPr>
        <w:t>为契机，强化党史学习教育和业务培训，将党史学习教育成果转化成为“我为群众办实事”的内在动力。强化作风建设，开展文明服务和群众满意窗口创建活动，坚决杜绝“门难进、脸难看、事难办”的衙门作风现象的发生。</w:t>
      </w:r>
    </w:p>
    <w:p>
      <w:pPr>
        <w:ind w:firstLine="560" w:firstLineChars="200"/>
        <w:rPr>
          <w:rFonts w:eastAsia="方正仿宋_GBK"/>
          <w:sz w:val="28"/>
          <w:lang w:eastAsia="zh-CN"/>
        </w:rPr>
      </w:pPr>
      <w:r>
        <w:rPr>
          <w:rFonts w:hint="eastAsia" w:eastAsia="方正仿宋_GBK"/>
          <w:sz w:val="28"/>
          <w:lang w:eastAsia="zh-CN"/>
        </w:rPr>
        <w:t>四是强化内部管理。统筹安排协调各单位入驻人员、劳务派遣人员工作秩序，做好工作中心水、电、暖、网络通讯等各项正常办公所需的经费保障，</w:t>
      </w:r>
      <w:r>
        <w:rPr>
          <w:rFonts w:eastAsia="方正仿宋_GBK"/>
          <w:sz w:val="28"/>
        </w:rPr>
        <w:t>严格规范管理，提高工作效能，建立便民、高效、务实的新机制，确保</w:t>
      </w:r>
      <w:r>
        <w:rPr>
          <w:rFonts w:hint="eastAsia" w:eastAsia="方正仿宋_GBK"/>
          <w:sz w:val="28"/>
          <w:lang w:eastAsia="zh-CN"/>
        </w:rPr>
        <w:t>群众工作</w:t>
      </w:r>
      <w:r>
        <w:rPr>
          <w:rFonts w:eastAsia="方正仿宋_GBK"/>
          <w:sz w:val="28"/>
        </w:rPr>
        <w:t>中心高效运转。</w:t>
      </w:r>
    </w:p>
    <w:p>
      <w:pPr>
        <w:ind w:firstLine="560" w:firstLineChars="200"/>
        <w:rPr>
          <w:rFonts w:eastAsia="方正仿宋_GBK"/>
          <w:sz w:val="28"/>
          <w:lang w:eastAsia="zh-CN"/>
        </w:rPr>
      </w:pPr>
      <w:r>
        <w:rPr>
          <w:rFonts w:hint="eastAsia" w:eastAsia="方正仿宋_GBK"/>
          <w:sz w:val="28"/>
          <w:lang w:eastAsia="zh-CN"/>
        </w:rPr>
        <w:t>2、强化矛盾调处</w:t>
      </w:r>
    </w:p>
    <w:p>
      <w:pPr>
        <w:ind w:firstLine="560" w:firstLineChars="200"/>
        <w:rPr>
          <w:rFonts w:eastAsia="方正仿宋_GBK"/>
          <w:sz w:val="28"/>
          <w:lang w:eastAsia="zh-CN"/>
        </w:rPr>
      </w:pPr>
      <w:r>
        <w:rPr>
          <w:rFonts w:hint="eastAsia" w:eastAsia="方正仿宋_GBK"/>
          <w:sz w:val="28"/>
          <w:lang w:eastAsia="zh-CN"/>
        </w:rPr>
        <w:t>一是</w:t>
      </w:r>
      <w:r>
        <w:rPr>
          <w:rFonts w:hint="eastAsia" w:eastAsia="方正仿宋_GBK"/>
          <w:sz w:val="28"/>
        </w:rPr>
        <w:t>建立矛盾纠纷排查调处长效机制</w:t>
      </w:r>
      <w:r>
        <w:rPr>
          <w:rFonts w:hint="eastAsia" w:eastAsia="方正仿宋_GBK"/>
          <w:sz w:val="28"/>
          <w:lang w:eastAsia="zh-CN"/>
        </w:rPr>
        <w:t>。</w:t>
      </w:r>
      <w:r>
        <w:rPr>
          <w:rFonts w:eastAsia="方正仿宋_GBK"/>
          <w:sz w:val="28"/>
        </w:rPr>
        <w:t>及时、就地高效解决群众合理诉求。实行部门调处（一级）、群众工作中心（联席办）调处（二级）、群众工作委员会（联席会议）调处（三级）三级调处，及时就地解决群众合理诉求</w:t>
      </w:r>
      <w:r>
        <w:rPr>
          <w:rFonts w:hint="eastAsia" w:eastAsia="方正仿宋_GBK"/>
          <w:sz w:val="28"/>
          <w:lang w:eastAsia="zh-CN"/>
        </w:rPr>
        <w:t>。与司法局共同建设行政调解中心，规范管理。</w:t>
      </w:r>
    </w:p>
    <w:p>
      <w:pPr>
        <w:ind w:firstLine="560" w:firstLineChars="200"/>
        <w:rPr>
          <w:rFonts w:eastAsia="方正仿宋_GBK"/>
          <w:sz w:val="28"/>
          <w:lang w:eastAsia="zh-CN"/>
        </w:rPr>
      </w:pPr>
      <w:r>
        <w:rPr>
          <w:rFonts w:hint="eastAsia" w:eastAsia="方正仿宋_GBK"/>
          <w:sz w:val="28"/>
          <w:lang w:eastAsia="zh-CN"/>
        </w:rPr>
        <w:t>二是</w:t>
      </w:r>
      <w:r>
        <w:rPr>
          <w:rFonts w:hint="eastAsia" w:eastAsia="方正仿宋_GBK"/>
          <w:sz w:val="28"/>
        </w:rPr>
        <w:t>完善领导干部公开接访</w:t>
      </w:r>
      <w:r>
        <w:rPr>
          <w:rFonts w:hint="eastAsia" w:eastAsia="方正仿宋_GBK"/>
          <w:sz w:val="28"/>
          <w:lang w:eastAsia="zh-CN"/>
        </w:rPr>
        <w:t>。</w:t>
      </w:r>
      <w:r>
        <w:rPr>
          <w:rFonts w:hint="eastAsia" w:eastAsia="方正仿宋_GBK"/>
          <w:sz w:val="28"/>
        </w:rPr>
        <w:t>建立县级党政领导轮流公开接访制度，每天安排一名党政领导到群众工作中心公开接访，同时将法、检两长纳入访范围；特殊时期推行主要领导轮流接访，政法各部门班子成员陪同接访。同时重点推行</w:t>
      </w:r>
      <w:r>
        <w:rPr>
          <w:rFonts w:eastAsia="方正仿宋_GBK"/>
          <w:sz w:val="28"/>
        </w:rPr>
        <w:t>重点约访、</w:t>
      </w:r>
      <w:r>
        <w:rPr>
          <w:rFonts w:hint="eastAsia" w:eastAsia="方正仿宋_GBK"/>
          <w:sz w:val="28"/>
        </w:rPr>
        <w:t>专题接访</w:t>
      </w:r>
      <w:r>
        <w:rPr>
          <w:rFonts w:eastAsia="方正仿宋_GBK"/>
          <w:sz w:val="28"/>
        </w:rPr>
        <w:t>。</w:t>
      </w:r>
    </w:p>
    <w:p>
      <w:pPr>
        <w:ind w:firstLine="560" w:firstLineChars="200"/>
        <w:rPr>
          <w:rFonts w:eastAsia="方正仿宋_GBK"/>
          <w:sz w:val="28"/>
          <w:lang w:eastAsia="zh-CN"/>
        </w:rPr>
      </w:pPr>
      <w:r>
        <w:rPr>
          <w:rFonts w:hint="eastAsia" w:eastAsia="方正仿宋_GBK"/>
          <w:sz w:val="28"/>
          <w:lang w:eastAsia="zh-CN"/>
        </w:rPr>
        <w:t>三是砸实工作责任。</w:t>
      </w:r>
      <w:r>
        <w:rPr>
          <w:rFonts w:hint="eastAsia" w:eastAsia="方正仿宋_GBK"/>
          <w:sz w:val="28"/>
        </w:rPr>
        <w:t>推行县、乡、村三级责任捆绑机制：突出县级领导包联责任：实行县级领导包乡镇、分管部门；突出乡镇部门主体责任：坚决落实属地管理、“谁主管谁负责”原则，看好自己的门、办好自己的事、管好自己的人；突出村级第一道防线责任：将村干部绩效工资与信访稳定工作挂钩。</w:t>
      </w:r>
      <w:r>
        <w:rPr>
          <w:rFonts w:hint="eastAsia" w:eastAsia="方正仿宋_GBK"/>
          <w:sz w:val="28"/>
          <w:lang w:eastAsia="zh-CN"/>
        </w:rPr>
        <w:t>推行初信初访首办责任制，问题不化解，责任不脱钩。</w:t>
      </w:r>
    </w:p>
    <w:p>
      <w:pPr>
        <w:ind w:firstLine="560" w:firstLineChars="200"/>
        <w:rPr>
          <w:rFonts w:eastAsia="方正仿宋_GBK"/>
          <w:sz w:val="28"/>
          <w:lang w:eastAsia="zh-CN"/>
        </w:rPr>
      </w:pPr>
      <w:r>
        <w:rPr>
          <w:rFonts w:hint="eastAsia" w:eastAsia="方正仿宋_GBK"/>
          <w:sz w:val="28"/>
          <w:lang w:eastAsia="zh-CN"/>
        </w:rPr>
        <w:t>四是强化问题化解。持续开展重复信访专项治理和信访积案化解攻坚行动；扎实推进化解涉房地产领域信访突出问题和拖欠农民工工资信访突出问题专项治理工作，确保积案归零、清仓见底，实现“减存量、消重案、控增量、防变量”目标。</w:t>
      </w:r>
    </w:p>
    <w:p>
      <w:pPr>
        <w:ind w:firstLine="560" w:firstLineChars="200"/>
        <w:rPr>
          <w:rFonts w:eastAsia="方正仿宋_GBK"/>
          <w:sz w:val="28"/>
          <w:lang w:eastAsia="zh-CN"/>
        </w:rPr>
      </w:pPr>
      <w:r>
        <w:rPr>
          <w:rFonts w:hint="eastAsia" w:eastAsia="方正仿宋_GBK"/>
          <w:sz w:val="28"/>
          <w:lang w:eastAsia="zh-CN"/>
        </w:rPr>
        <w:t>3、引导网上信访</w:t>
      </w:r>
    </w:p>
    <w:p>
      <w:pPr>
        <w:ind w:firstLine="560" w:firstLineChars="200"/>
        <w:rPr>
          <w:rFonts w:eastAsia="方正仿宋_GBK"/>
          <w:sz w:val="28"/>
        </w:rPr>
      </w:pPr>
      <w:r>
        <w:rPr>
          <w:rFonts w:hint="eastAsia" w:eastAsia="方正仿宋_GBK"/>
          <w:sz w:val="28"/>
        </w:rPr>
        <w:t>将信访信息系统纵向连通到乡镇、社区，横向连通到县直部门，开通“阜平信访微信公众号”，通过广泛宣传，引导群众通过网上信访表达意愿，做到可投诉、可跟踪、可查询，公开透明。逐步将网上信访打造成群众表达意愿的主渠道。</w:t>
      </w:r>
    </w:p>
    <w:p>
      <w:pPr>
        <w:ind w:firstLine="560" w:firstLineChars="200"/>
        <w:rPr>
          <w:rFonts w:eastAsia="方正仿宋_GBK"/>
          <w:sz w:val="28"/>
          <w:lang w:eastAsia="zh-CN"/>
        </w:rPr>
      </w:pPr>
      <w:r>
        <w:rPr>
          <w:rFonts w:hint="eastAsia" w:eastAsia="方正仿宋_GBK"/>
          <w:sz w:val="28"/>
          <w:lang w:eastAsia="zh-CN"/>
        </w:rPr>
        <w:t>4、强化应急处置</w:t>
      </w:r>
    </w:p>
    <w:p>
      <w:pPr>
        <w:ind w:firstLine="560" w:firstLineChars="200"/>
        <w:rPr>
          <w:rFonts w:eastAsia="方正仿宋_GBK"/>
          <w:sz w:val="28"/>
          <w:lang w:eastAsia="zh-CN"/>
        </w:rPr>
      </w:pPr>
      <w:r>
        <w:rPr>
          <w:rFonts w:hint="eastAsia" w:eastAsia="方正仿宋_GBK"/>
          <w:sz w:val="28"/>
          <w:lang w:eastAsia="zh-CN"/>
        </w:rPr>
        <w:t>强化预防的应急处置，做到早发现、早介入、早控制、早化解，努力将矛盾化解在萌芽状态，将群众稳定在当地。</w:t>
      </w:r>
    </w:p>
    <w:p>
      <w:pPr>
        <w:ind w:firstLine="560" w:firstLineChars="200"/>
        <w:rPr>
          <w:rFonts w:eastAsia="方正仿宋_GBK"/>
          <w:sz w:val="28"/>
        </w:rPr>
      </w:pPr>
      <w:r>
        <w:rPr>
          <w:rFonts w:hint="eastAsia" w:eastAsia="方正仿宋_GBK"/>
          <w:sz w:val="28"/>
          <w:lang w:eastAsia="zh-CN"/>
        </w:rPr>
        <w:t>一是坚持长效驻京 、省值班机制。继续</w:t>
      </w:r>
      <w:r>
        <w:rPr>
          <w:rFonts w:eastAsia="方正仿宋_GBK"/>
          <w:sz w:val="28"/>
        </w:rPr>
        <w:t>完善由信访牵</w:t>
      </w:r>
      <w:r>
        <w:rPr>
          <w:rFonts w:hint="eastAsia" w:eastAsia="方正仿宋_GBK"/>
          <w:sz w:val="28"/>
          <w:lang w:eastAsia="zh-CN"/>
        </w:rPr>
        <w:t>头，</w:t>
      </w:r>
      <w:r>
        <w:rPr>
          <w:rFonts w:eastAsia="方正仿宋_GBK"/>
          <w:sz w:val="28"/>
        </w:rPr>
        <w:t>公安及相关部门参与，按照北京日常不低于</w:t>
      </w:r>
      <w:r>
        <w:rPr>
          <w:rFonts w:hint="eastAsia" w:eastAsia="方正仿宋_GBK"/>
          <w:sz w:val="28"/>
          <w:lang w:eastAsia="zh-CN"/>
        </w:rPr>
        <w:t>8</w:t>
      </w:r>
      <w:r>
        <w:rPr>
          <w:rFonts w:eastAsia="方正仿宋_GBK"/>
          <w:sz w:val="28"/>
        </w:rPr>
        <w:t>人、省会不低于2人</w:t>
      </w:r>
      <w:r>
        <w:rPr>
          <w:rFonts w:hint="eastAsia" w:eastAsia="方正仿宋_GBK"/>
          <w:sz w:val="28"/>
          <w:lang w:eastAsia="zh-CN"/>
        </w:rPr>
        <w:t>的标准</w:t>
      </w:r>
      <w:r>
        <w:rPr>
          <w:rFonts w:eastAsia="方正仿宋_GBK"/>
          <w:sz w:val="28"/>
        </w:rPr>
        <w:t>，特殊时期适当增加的原则，建立驻京、赴省值班工作的长效机制</w:t>
      </w:r>
      <w:r>
        <w:rPr>
          <w:rFonts w:hint="eastAsia" w:eastAsia="方正仿宋_GBK"/>
          <w:sz w:val="28"/>
          <w:lang w:eastAsia="zh-CN"/>
        </w:rPr>
        <w:t>，费用由财政保障，全力</w:t>
      </w:r>
      <w:r>
        <w:rPr>
          <w:rFonts w:eastAsia="方正仿宋_GBK"/>
          <w:sz w:val="28"/>
        </w:rPr>
        <w:t>做好全国、省、市“两会”，党</w:t>
      </w:r>
      <w:r>
        <w:rPr>
          <w:rFonts w:hint="eastAsia" w:eastAsia="方正仿宋_GBK"/>
          <w:sz w:val="28"/>
          <w:lang w:eastAsia="zh-CN"/>
        </w:rPr>
        <w:t>和国家</w:t>
      </w:r>
      <w:r>
        <w:rPr>
          <w:rFonts w:eastAsia="方正仿宋_GBK"/>
          <w:sz w:val="28"/>
        </w:rPr>
        <w:t>其他重大活动</w:t>
      </w:r>
      <w:r>
        <w:rPr>
          <w:rFonts w:hint="eastAsia" w:eastAsia="方正仿宋_GBK"/>
          <w:sz w:val="28"/>
          <w:lang w:eastAsia="zh-CN"/>
        </w:rPr>
        <w:t>及县内各类重大活动的信访保障工作。</w:t>
      </w:r>
      <w:r>
        <w:rPr>
          <w:rFonts w:eastAsia="方正仿宋_GBK"/>
          <w:sz w:val="28"/>
        </w:rPr>
        <w:t>建立特殊时段涿州、</w:t>
      </w:r>
      <w:r>
        <w:rPr>
          <w:rFonts w:hint="eastAsia" w:eastAsia="方正仿宋_GBK"/>
          <w:sz w:val="28"/>
          <w:lang w:eastAsia="zh-CN"/>
        </w:rPr>
        <w:t>涞水、定州、保定及暑期</w:t>
      </w:r>
      <w:r>
        <w:rPr>
          <w:rFonts w:eastAsia="方正仿宋_GBK"/>
          <w:sz w:val="28"/>
        </w:rPr>
        <w:t>北戴河值班工作长效机制，有效遏制越级上访和进京非访。</w:t>
      </w:r>
    </w:p>
    <w:p>
      <w:pPr>
        <w:ind w:firstLine="560" w:firstLineChars="200"/>
        <w:rPr>
          <w:rFonts w:eastAsia="方正仿宋_GBK"/>
          <w:sz w:val="28"/>
          <w:lang w:eastAsia="zh-CN"/>
        </w:rPr>
      </w:pPr>
      <w:r>
        <w:rPr>
          <w:rFonts w:hint="eastAsia" w:eastAsia="方正仿宋_GBK"/>
          <w:sz w:val="28"/>
          <w:lang w:eastAsia="zh-CN"/>
        </w:rPr>
        <w:t>二是强化源头防控。建立动态排查机制，坚持日常排查和随机排查相结合，对排查出的隐患全部落实工作责任，限期化解。确保“小事不出村、大事不出乡、难事不上交”。</w:t>
      </w:r>
    </w:p>
    <w:p>
      <w:pPr>
        <w:ind w:firstLine="560" w:firstLineChars="200"/>
        <w:rPr>
          <w:rFonts w:eastAsia="方正仿宋_GBK"/>
          <w:sz w:val="28"/>
          <w:lang w:eastAsia="zh-CN"/>
        </w:rPr>
      </w:pPr>
      <w:r>
        <w:rPr>
          <w:rFonts w:hint="eastAsia" w:eastAsia="方正仿宋_GBK"/>
          <w:sz w:val="28"/>
          <w:lang w:eastAsia="zh-CN"/>
        </w:rPr>
        <w:t>5、强化依法信访宣传</w:t>
      </w:r>
    </w:p>
    <w:p>
      <w:pPr>
        <w:pStyle w:val="39"/>
        <w:ind w:firstLine="560" w:firstLineChars="200"/>
        <w:rPr>
          <w:rFonts w:ascii="Times New Roman" w:hAnsi="Times New Roman" w:eastAsia="方正仿宋_GBK"/>
          <w:sz w:val="28"/>
          <w:szCs w:val="24"/>
          <w:lang w:eastAsia="zh-CN"/>
        </w:rPr>
      </w:pPr>
      <w:r>
        <w:rPr>
          <w:rFonts w:hint="eastAsia" w:ascii="Times New Roman" w:hAnsi="Times New Roman" w:eastAsia="方正仿宋_GBK"/>
          <w:sz w:val="28"/>
          <w:szCs w:val="24"/>
          <w:lang w:eastAsia="zh-CN"/>
        </w:rPr>
        <w:t>定期组织开展依法信访宣传活动，通过印制《规范信访秩序手册》、“明白纸”，张贴典型案例、微信公众号以布等多种形式广泛宣传信访法规，做到全覆盖、高频次。使信访信访、违法追究的原则深入人心，家喻户晓。</w:t>
      </w: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ind w:firstLine="640"/>
        <w:rPr>
          <w:rFonts w:eastAsia="方正楷体_GBK" w:cs="方正楷体_GBK"/>
          <w:b/>
          <w:color w:val="000000"/>
          <w:sz w:val="32"/>
          <w:lang w:val="uk-UA"/>
        </w:rPr>
      </w:pPr>
      <w:r>
        <w:rPr>
          <w:rFonts w:ascii="方正楷体_GBK" w:hAnsi="方正楷体_GBK" w:eastAsia="方正楷体_GBK" w:cs="方正楷体_GBK"/>
          <w:b/>
          <w:color w:val="000000"/>
          <w:sz w:val="32"/>
        </w:rPr>
        <w:t>第二部分  专项资金绩效目标</w:t>
      </w:r>
    </w:p>
    <w:p>
      <w:pPr>
        <w:jc w:val="center"/>
      </w:pPr>
    </w:p>
    <w:p>
      <w:pPr>
        <w:ind w:firstLine="560"/>
        <w:outlineLvl w:val="3"/>
      </w:pPr>
      <w:bookmarkStart w:id="14" w:name="_Toc_4_4_0000000004"/>
      <w:bookmarkStart w:id="15" w:name="_Toc_3_3_0000000015"/>
      <w:r>
        <w:rPr>
          <w:rFonts w:ascii="方正仿宋_GBK" w:hAnsi="方正仿宋_GBK" w:eastAsia="方正仿宋_GBK" w:cs="方正仿宋_GBK"/>
          <w:color w:val="000000"/>
          <w:sz w:val="28"/>
        </w:rPr>
        <w:t>1.劳务派遣人员经费绩效目标表</w:t>
      </w:r>
      <w:bookmarkEnd w:id="14"/>
    </w:p>
    <w:tbl>
      <w:tblPr>
        <w:tblStyle w:val="8"/>
        <w:tblW w:w="1337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468"/>
        <w:gridCol w:w="2670"/>
        <w:gridCol w:w="2310"/>
        <w:gridCol w:w="1380"/>
        <w:gridCol w:w="289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82" w:type="dxa"/>
            <w:gridSpan w:val="6"/>
            <w:tcBorders>
              <w:top w:val="single" w:color="FFFFFF" w:sz="6" w:space="0"/>
              <w:left w:val="single" w:color="FFFFFF" w:sz="6" w:space="0"/>
              <w:right w:val="single" w:color="FFFFFF" w:sz="6" w:space="0"/>
            </w:tcBorders>
            <w:vAlign w:val="center"/>
          </w:tcPr>
          <w:p>
            <w:pPr>
              <w:pStyle w:val="20"/>
            </w:pPr>
            <w:r>
              <w:t>202001阜平县信访局本级</w:t>
            </w:r>
          </w:p>
        </w:tc>
        <w:tc>
          <w:tcPr>
            <w:tcW w:w="2894"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795" w:type="dxa"/>
            <w:gridSpan w:val="2"/>
            <w:vAlign w:val="center"/>
          </w:tcPr>
          <w:p>
            <w:pPr>
              <w:pStyle w:val="16"/>
            </w:pPr>
            <w:r>
              <w:t>13062423P000048100019</w:t>
            </w:r>
          </w:p>
        </w:tc>
        <w:tc>
          <w:tcPr>
            <w:tcW w:w="2670" w:type="dxa"/>
            <w:vAlign w:val="center"/>
          </w:tcPr>
          <w:p>
            <w:pPr>
              <w:pStyle w:val="14"/>
            </w:pPr>
            <w:r>
              <w:t>项目名称</w:t>
            </w:r>
          </w:p>
        </w:tc>
        <w:tc>
          <w:tcPr>
            <w:tcW w:w="6584" w:type="dxa"/>
            <w:gridSpan w:val="3"/>
            <w:vAlign w:val="center"/>
          </w:tcPr>
          <w:p>
            <w:pPr>
              <w:pStyle w:val="16"/>
            </w:pPr>
            <w:r>
              <w:t>劳务派遣人员专项经费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468" w:type="dxa"/>
            <w:vAlign w:val="center"/>
          </w:tcPr>
          <w:p>
            <w:pPr>
              <w:pStyle w:val="16"/>
            </w:pPr>
            <w:r>
              <w:t>55.00</w:t>
            </w:r>
          </w:p>
        </w:tc>
        <w:tc>
          <w:tcPr>
            <w:tcW w:w="2670" w:type="dxa"/>
            <w:vAlign w:val="center"/>
          </w:tcPr>
          <w:p>
            <w:pPr>
              <w:pStyle w:val="14"/>
            </w:pPr>
            <w:r>
              <w:t>其中：财政资金</w:t>
            </w:r>
          </w:p>
        </w:tc>
        <w:tc>
          <w:tcPr>
            <w:tcW w:w="2310" w:type="dxa"/>
            <w:vAlign w:val="center"/>
          </w:tcPr>
          <w:p>
            <w:pPr>
              <w:pStyle w:val="16"/>
            </w:pPr>
            <w:r>
              <w:t>55.00</w:t>
            </w:r>
          </w:p>
        </w:tc>
        <w:tc>
          <w:tcPr>
            <w:tcW w:w="1380" w:type="dxa"/>
            <w:vAlign w:val="center"/>
          </w:tcPr>
          <w:p>
            <w:pPr>
              <w:pStyle w:val="14"/>
            </w:pPr>
            <w:r>
              <w:t>其他资金</w:t>
            </w:r>
          </w:p>
        </w:tc>
        <w:tc>
          <w:tcPr>
            <w:tcW w:w="2894"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2049" w:type="dxa"/>
            <w:gridSpan w:val="6"/>
            <w:vAlign w:val="center"/>
          </w:tcPr>
          <w:p>
            <w:pPr>
              <w:pStyle w:val="16"/>
            </w:pPr>
            <w:r>
              <w:t>通过足额发放劳务派遣人员的工资和社保缴纳，保障劳务派遣人员配合其他工作人员完成群众工作中心的联合接访相关业务工作，全心全意为人民服务，提高业务能力，提高来访群众满意率。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795" w:type="dxa"/>
            <w:gridSpan w:val="2"/>
            <w:vAlign w:val="center"/>
          </w:tcPr>
          <w:p>
            <w:pPr>
              <w:pStyle w:val="14"/>
            </w:pPr>
            <w:r>
              <w:t>3月底</w:t>
            </w:r>
          </w:p>
        </w:tc>
        <w:tc>
          <w:tcPr>
            <w:tcW w:w="2670" w:type="dxa"/>
            <w:vAlign w:val="center"/>
          </w:tcPr>
          <w:p>
            <w:pPr>
              <w:pStyle w:val="14"/>
            </w:pPr>
            <w:r>
              <w:t>6月底</w:t>
            </w:r>
          </w:p>
        </w:tc>
        <w:tc>
          <w:tcPr>
            <w:tcW w:w="2310" w:type="dxa"/>
            <w:vAlign w:val="center"/>
          </w:tcPr>
          <w:p>
            <w:pPr>
              <w:pStyle w:val="14"/>
            </w:pPr>
            <w:r>
              <w:t>10月底</w:t>
            </w:r>
          </w:p>
        </w:tc>
        <w:tc>
          <w:tcPr>
            <w:tcW w:w="427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795" w:type="dxa"/>
            <w:gridSpan w:val="2"/>
            <w:vAlign w:val="center"/>
          </w:tcPr>
          <w:p>
            <w:pPr>
              <w:pStyle w:val="17"/>
            </w:pPr>
            <w:r>
              <w:t>25%</w:t>
            </w:r>
          </w:p>
        </w:tc>
        <w:tc>
          <w:tcPr>
            <w:tcW w:w="2670" w:type="dxa"/>
            <w:vAlign w:val="center"/>
          </w:tcPr>
          <w:p>
            <w:pPr>
              <w:pStyle w:val="17"/>
            </w:pPr>
            <w:r>
              <w:t>50%</w:t>
            </w:r>
          </w:p>
        </w:tc>
        <w:tc>
          <w:tcPr>
            <w:tcW w:w="2310" w:type="dxa"/>
            <w:vAlign w:val="center"/>
          </w:tcPr>
          <w:p>
            <w:pPr>
              <w:pStyle w:val="17"/>
            </w:pPr>
            <w:r>
              <w:t>75%</w:t>
            </w:r>
          </w:p>
        </w:tc>
        <w:tc>
          <w:tcPr>
            <w:tcW w:w="427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2049" w:type="dxa"/>
            <w:gridSpan w:val="6"/>
            <w:vAlign w:val="center"/>
          </w:tcPr>
          <w:p>
            <w:pPr>
              <w:pStyle w:val="16"/>
            </w:pPr>
            <w:r>
              <w:t>1.通过足额发放劳务派遣人员的工资和社保缴纳，保障劳务派遣人员配合其他工作人员完成群众工作中心的联合接访相关业务工作，全心全意为人民服务，提高业务能力，提高来访群众满意率。</w:t>
            </w:r>
          </w:p>
          <w:p>
            <w:pPr>
              <w:pStyle w:val="16"/>
            </w:pPr>
            <w:r>
              <w:t>2.按时发放劳务派遣人员的工资和各项保险。</w:t>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3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932"/>
        <w:gridCol w:w="1650"/>
        <w:gridCol w:w="2880"/>
        <w:gridCol w:w="2805"/>
        <w:gridCol w:w="27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932" w:type="dxa"/>
            <w:vAlign w:val="center"/>
          </w:tcPr>
          <w:p>
            <w:pPr>
              <w:pStyle w:val="14"/>
            </w:pPr>
            <w:r>
              <w:t>二级指标</w:t>
            </w:r>
          </w:p>
        </w:tc>
        <w:tc>
          <w:tcPr>
            <w:tcW w:w="1650" w:type="dxa"/>
            <w:vAlign w:val="center"/>
          </w:tcPr>
          <w:p>
            <w:pPr>
              <w:pStyle w:val="14"/>
            </w:pPr>
            <w:r>
              <w:t>三级指标</w:t>
            </w:r>
          </w:p>
        </w:tc>
        <w:tc>
          <w:tcPr>
            <w:tcW w:w="2880" w:type="dxa"/>
            <w:vAlign w:val="center"/>
          </w:tcPr>
          <w:p>
            <w:pPr>
              <w:pStyle w:val="14"/>
            </w:pPr>
            <w:r>
              <w:t>绩效指标描述</w:t>
            </w:r>
          </w:p>
        </w:tc>
        <w:tc>
          <w:tcPr>
            <w:tcW w:w="2805" w:type="dxa"/>
            <w:vAlign w:val="center"/>
          </w:tcPr>
          <w:p>
            <w:pPr>
              <w:pStyle w:val="14"/>
            </w:pPr>
            <w:r>
              <w:t>指标值</w:t>
            </w:r>
          </w:p>
        </w:tc>
        <w:tc>
          <w:tcPr>
            <w:tcW w:w="279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932" w:type="dxa"/>
            <w:vAlign w:val="center"/>
          </w:tcPr>
          <w:p>
            <w:pPr>
              <w:pStyle w:val="16"/>
            </w:pPr>
            <w:r>
              <w:t>数量指标</w:t>
            </w:r>
          </w:p>
        </w:tc>
        <w:tc>
          <w:tcPr>
            <w:tcW w:w="1650" w:type="dxa"/>
            <w:vAlign w:val="center"/>
          </w:tcPr>
          <w:p>
            <w:pPr>
              <w:pStyle w:val="16"/>
            </w:pPr>
            <w:r>
              <w:t>劳务派遣人员工资发放人数</w:t>
            </w:r>
          </w:p>
        </w:tc>
        <w:tc>
          <w:tcPr>
            <w:tcW w:w="2880" w:type="dxa"/>
            <w:vAlign w:val="center"/>
          </w:tcPr>
          <w:p>
            <w:pPr>
              <w:pStyle w:val="16"/>
            </w:pPr>
            <w:r>
              <w:t>劳务派遣人员工资保险发放人数占应发放人数的比率</w:t>
            </w:r>
          </w:p>
        </w:tc>
        <w:tc>
          <w:tcPr>
            <w:tcW w:w="2805" w:type="dxa"/>
            <w:vAlign w:val="center"/>
          </w:tcPr>
          <w:p>
            <w:pPr>
              <w:pStyle w:val="16"/>
            </w:pPr>
            <w:r>
              <w:t>≥90是否按照劳务派遣人员到岗情况保证工资保险发放人数</w:t>
            </w:r>
          </w:p>
        </w:tc>
        <w:tc>
          <w:tcPr>
            <w:tcW w:w="2795" w:type="dxa"/>
            <w:vAlign w:val="center"/>
          </w:tcPr>
          <w:p>
            <w:pPr>
              <w:pStyle w:val="16"/>
            </w:pPr>
            <w:r>
              <w:t>按照单位花名册、考勤表情况制定工资表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jc w:val="center"/>
        </w:trPr>
        <w:tc>
          <w:tcPr>
            <w:tcW w:w="1327" w:type="dxa"/>
            <w:vMerge w:val="continue"/>
            <w:vAlign w:val="center"/>
          </w:tcPr>
          <w:p/>
        </w:tc>
        <w:tc>
          <w:tcPr>
            <w:tcW w:w="1932" w:type="dxa"/>
            <w:vAlign w:val="center"/>
          </w:tcPr>
          <w:p>
            <w:pPr>
              <w:pStyle w:val="16"/>
            </w:pPr>
            <w:r>
              <w:t>质量指标</w:t>
            </w:r>
          </w:p>
        </w:tc>
        <w:tc>
          <w:tcPr>
            <w:tcW w:w="1650" w:type="dxa"/>
            <w:vAlign w:val="center"/>
          </w:tcPr>
          <w:p>
            <w:pPr>
              <w:pStyle w:val="16"/>
            </w:pPr>
            <w:r>
              <w:t>工资保险足额发放率</w:t>
            </w:r>
          </w:p>
        </w:tc>
        <w:tc>
          <w:tcPr>
            <w:tcW w:w="2880" w:type="dxa"/>
            <w:vAlign w:val="center"/>
          </w:tcPr>
          <w:p>
            <w:pPr>
              <w:pStyle w:val="16"/>
            </w:pPr>
            <w:r>
              <w:t>劳务派遣人员工资保险足额发放金额占应发放金额的比率</w:t>
            </w:r>
          </w:p>
        </w:tc>
        <w:tc>
          <w:tcPr>
            <w:tcW w:w="2805" w:type="dxa"/>
            <w:vAlign w:val="center"/>
          </w:tcPr>
          <w:p>
            <w:pPr>
              <w:pStyle w:val="16"/>
            </w:pPr>
            <w:r>
              <w:t>≥95是否按照有关部门要求足额发放劳务派遣人员工资保险</w:t>
            </w:r>
          </w:p>
        </w:tc>
        <w:tc>
          <w:tcPr>
            <w:tcW w:w="2795" w:type="dxa"/>
            <w:vAlign w:val="center"/>
          </w:tcPr>
          <w:p>
            <w:pPr>
              <w:pStyle w:val="16"/>
            </w:pPr>
            <w:r>
              <w:t>按照人社局、各保险所以及财政局相关要求审批发放足额金额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32" w:type="dxa"/>
            <w:vAlign w:val="center"/>
          </w:tcPr>
          <w:p>
            <w:pPr>
              <w:pStyle w:val="16"/>
            </w:pPr>
            <w:r>
              <w:t>时效指标</w:t>
            </w:r>
          </w:p>
        </w:tc>
        <w:tc>
          <w:tcPr>
            <w:tcW w:w="1650" w:type="dxa"/>
            <w:vAlign w:val="center"/>
          </w:tcPr>
          <w:p>
            <w:pPr>
              <w:pStyle w:val="16"/>
            </w:pPr>
            <w:r>
              <w:t>工资保险支付及时率</w:t>
            </w:r>
          </w:p>
        </w:tc>
        <w:tc>
          <w:tcPr>
            <w:tcW w:w="2880" w:type="dxa"/>
            <w:vAlign w:val="center"/>
          </w:tcPr>
          <w:p>
            <w:pPr>
              <w:pStyle w:val="16"/>
            </w:pPr>
            <w:r>
              <w:t>劳务派遣人员工资保险是否及时发放</w:t>
            </w:r>
          </w:p>
        </w:tc>
        <w:tc>
          <w:tcPr>
            <w:tcW w:w="2805" w:type="dxa"/>
            <w:vAlign w:val="center"/>
          </w:tcPr>
          <w:p>
            <w:pPr>
              <w:pStyle w:val="16"/>
            </w:pPr>
            <w:r>
              <w:t>≥80是否按照有关部门要求及时发放劳务派遣人员工资保险</w:t>
            </w:r>
          </w:p>
        </w:tc>
        <w:tc>
          <w:tcPr>
            <w:tcW w:w="2795" w:type="dxa"/>
            <w:vAlign w:val="center"/>
          </w:tcPr>
          <w:p>
            <w:pPr>
              <w:pStyle w:val="16"/>
            </w:pPr>
            <w:r>
              <w:t>按照人社局、各保险所以及财政局相关要求按时发放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32" w:type="dxa"/>
            <w:vAlign w:val="center"/>
          </w:tcPr>
          <w:p>
            <w:pPr>
              <w:pStyle w:val="16"/>
            </w:pPr>
            <w:r>
              <w:t>成本指标</w:t>
            </w:r>
          </w:p>
        </w:tc>
        <w:tc>
          <w:tcPr>
            <w:tcW w:w="1650" w:type="dxa"/>
            <w:vAlign w:val="center"/>
          </w:tcPr>
          <w:p>
            <w:pPr>
              <w:pStyle w:val="16"/>
            </w:pPr>
            <w:r>
              <w:t>资金是否足额申请到位</w:t>
            </w:r>
          </w:p>
        </w:tc>
        <w:tc>
          <w:tcPr>
            <w:tcW w:w="2880" w:type="dxa"/>
            <w:vAlign w:val="center"/>
          </w:tcPr>
          <w:p>
            <w:pPr>
              <w:pStyle w:val="16"/>
            </w:pPr>
            <w:r>
              <w:t>劳务派遣人员工资保险是否足额申请到位</w:t>
            </w:r>
          </w:p>
        </w:tc>
        <w:tc>
          <w:tcPr>
            <w:tcW w:w="2805" w:type="dxa"/>
            <w:vAlign w:val="center"/>
          </w:tcPr>
          <w:p>
            <w:pPr>
              <w:pStyle w:val="16"/>
            </w:pPr>
            <w:r>
              <w:t>≥80是否按照有关部门要求及时申请劳务派遣人员各项资金</w:t>
            </w:r>
          </w:p>
        </w:tc>
        <w:tc>
          <w:tcPr>
            <w:tcW w:w="2795" w:type="dxa"/>
            <w:vAlign w:val="center"/>
          </w:tcPr>
          <w:p>
            <w:pPr>
              <w:pStyle w:val="16"/>
            </w:pPr>
            <w:r>
              <w:t>按照有关部门要求是否足额申请工资保险金额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932" w:type="dxa"/>
            <w:vAlign w:val="center"/>
          </w:tcPr>
          <w:p>
            <w:pPr>
              <w:pStyle w:val="16"/>
            </w:pPr>
            <w:r>
              <w:t>可持续影响指标</w:t>
            </w:r>
          </w:p>
        </w:tc>
        <w:tc>
          <w:tcPr>
            <w:tcW w:w="1650" w:type="dxa"/>
            <w:vAlign w:val="center"/>
          </w:tcPr>
          <w:p>
            <w:pPr>
              <w:pStyle w:val="16"/>
            </w:pPr>
            <w:r>
              <w:t>保证人员待遇落实情况</w:t>
            </w:r>
          </w:p>
        </w:tc>
        <w:tc>
          <w:tcPr>
            <w:tcW w:w="2880" w:type="dxa"/>
            <w:vAlign w:val="center"/>
          </w:tcPr>
          <w:p>
            <w:pPr>
              <w:pStyle w:val="16"/>
            </w:pPr>
            <w:r>
              <w:t>保证劳务派遣人员待遇落实</w:t>
            </w:r>
          </w:p>
        </w:tc>
        <w:tc>
          <w:tcPr>
            <w:tcW w:w="2805" w:type="dxa"/>
            <w:vAlign w:val="center"/>
          </w:tcPr>
          <w:p>
            <w:pPr>
              <w:pStyle w:val="16"/>
            </w:pPr>
            <w:r>
              <w:t>≥85是否按照有关部门要求进行工资调整以及各种待遇落实</w:t>
            </w:r>
          </w:p>
        </w:tc>
        <w:tc>
          <w:tcPr>
            <w:tcW w:w="2795" w:type="dxa"/>
            <w:vAlign w:val="center"/>
          </w:tcPr>
          <w:p>
            <w:pPr>
              <w:pStyle w:val="16"/>
            </w:pPr>
            <w:r>
              <w:t>按照有关部门要求进行人员待遇落实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32" w:type="dxa"/>
            <w:vAlign w:val="center"/>
          </w:tcPr>
          <w:p>
            <w:pPr>
              <w:pStyle w:val="16"/>
            </w:pPr>
            <w:r>
              <w:t>经济效益指标</w:t>
            </w:r>
          </w:p>
        </w:tc>
        <w:tc>
          <w:tcPr>
            <w:tcW w:w="1650" w:type="dxa"/>
            <w:vAlign w:val="center"/>
          </w:tcPr>
          <w:p>
            <w:pPr>
              <w:pStyle w:val="16"/>
            </w:pPr>
            <w:r>
              <w:t>本职工作完成率</w:t>
            </w:r>
          </w:p>
        </w:tc>
        <w:tc>
          <w:tcPr>
            <w:tcW w:w="2880" w:type="dxa"/>
            <w:vAlign w:val="center"/>
          </w:tcPr>
          <w:p>
            <w:pPr>
              <w:pStyle w:val="16"/>
            </w:pPr>
            <w:r>
              <w:t>能够按时按质按量完成本单位各项工作任务</w:t>
            </w:r>
          </w:p>
        </w:tc>
        <w:tc>
          <w:tcPr>
            <w:tcW w:w="2805" w:type="dxa"/>
            <w:vAlign w:val="center"/>
          </w:tcPr>
          <w:p>
            <w:pPr>
              <w:pStyle w:val="16"/>
            </w:pPr>
            <w:r>
              <w:t>≥80对出勤率和工作任务完成质量情况综合考量</w:t>
            </w:r>
          </w:p>
        </w:tc>
        <w:tc>
          <w:tcPr>
            <w:tcW w:w="2795" w:type="dxa"/>
            <w:vAlign w:val="center"/>
          </w:tcPr>
          <w:p>
            <w:pPr>
              <w:pStyle w:val="16"/>
            </w:pPr>
            <w:r>
              <w:t>根据劳务派遣人员在群众工作中心的职能工作完成情况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32" w:type="dxa"/>
            <w:vAlign w:val="center"/>
          </w:tcPr>
          <w:p>
            <w:pPr>
              <w:pStyle w:val="16"/>
            </w:pPr>
            <w:r>
              <w:t>社会效益指标</w:t>
            </w:r>
          </w:p>
        </w:tc>
        <w:tc>
          <w:tcPr>
            <w:tcW w:w="1650" w:type="dxa"/>
            <w:vAlign w:val="center"/>
          </w:tcPr>
          <w:p>
            <w:pPr>
              <w:pStyle w:val="16"/>
            </w:pPr>
            <w:r>
              <w:t>提高劳务派遣人员生活水平情况</w:t>
            </w:r>
          </w:p>
        </w:tc>
        <w:tc>
          <w:tcPr>
            <w:tcW w:w="2880" w:type="dxa"/>
            <w:vAlign w:val="center"/>
          </w:tcPr>
          <w:p>
            <w:pPr>
              <w:pStyle w:val="16"/>
            </w:pPr>
            <w:r>
              <w:t>按时足额发放工资，保障劳务派遣人员的生活水平</w:t>
            </w:r>
          </w:p>
        </w:tc>
        <w:tc>
          <w:tcPr>
            <w:tcW w:w="2805" w:type="dxa"/>
            <w:vAlign w:val="center"/>
          </w:tcPr>
          <w:p>
            <w:pPr>
              <w:pStyle w:val="16"/>
            </w:pPr>
            <w:r>
              <w:t>≥90能否保障劳务派遣人员生活质量</w:t>
            </w:r>
          </w:p>
        </w:tc>
        <w:tc>
          <w:tcPr>
            <w:tcW w:w="2795" w:type="dxa"/>
            <w:vAlign w:val="center"/>
          </w:tcPr>
          <w:p>
            <w:pPr>
              <w:pStyle w:val="16"/>
            </w:pPr>
            <w:r>
              <w:t>根据劳务派遣人员生活质量综合考评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32" w:type="dxa"/>
            <w:vAlign w:val="center"/>
          </w:tcPr>
          <w:p>
            <w:pPr>
              <w:pStyle w:val="16"/>
            </w:pPr>
            <w:r>
              <w:t>生态效益指标</w:t>
            </w:r>
          </w:p>
        </w:tc>
        <w:tc>
          <w:tcPr>
            <w:tcW w:w="1650" w:type="dxa"/>
            <w:vAlign w:val="center"/>
          </w:tcPr>
          <w:p>
            <w:pPr>
              <w:pStyle w:val="16"/>
            </w:pPr>
            <w:r>
              <w:t>保障社会发展情况</w:t>
            </w:r>
          </w:p>
        </w:tc>
        <w:tc>
          <w:tcPr>
            <w:tcW w:w="2880" w:type="dxa"/>
            <w:vAlign w:val="center"/>
          </w:tcPr>
          <w:p>
            <w:pPr>
              <w:pStyle w:val="16"/>
            </w:pPr>
            <w:r>
              <w:t>保障社会发展</w:t>
            </w:r>
          </w:p>
        </w:tc>
        <w:tc>
          <w:tcPr>
            <w:tcW w:w="2805" w:type="dxa"/>
            <w:vAlign w:val="center"/>
          </w:tcPr>
          <w:p>
            <w:pPr>
              <w:pStyle w:val="16"/>
            </w:pPr>
            <w:r>
              <w:t>≥90通过合理薪酬保障劳务派遣人员生活稳定</w:t>
            </w:r>
          </w:p>
        </w:tc>
        <w:tc>
          <w:tcPr>
            <w:tcW w:w="2795" w:type="dxa"/>
            <w:vAlign w:val="center"/>
          </w:tcPr>
          <w:p>
            <w:pPr>
              <w:pStyle w:val="16"/>
            </w:pPr>
            <w:r>
              <w:t>根据劳务派遣人员对工资薪酬合理性考评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932" w:type="dxa"/>
            <w:vAlign w:val="center"/>
          </w:tcPr>
          <w:p>
            <w:pPr>
              <w:pStyle w:val="16"/>
            </w:pPr>
            <w:r>
              <w:t>服务对象满意度指标</w:t>
            </w:r>
          </w:p>
        </w:tc>
        <w:tc>
          <w:tcPr>
            <w:tcW w:w="1650" w:type="dxa"/>
            <w:vAlign w:val="center"/>
          </w:tcPr>
          <w:p>
            <w:pPr>
              <w:pStyle w:val="16"/>
            </w:pPr>
            <w:r>
              <w:t>群众对劳务派遣人员工作情况满意率</w:t>
            </w:r>
          </w:p>
        </w:tc>
        <w:tc>
          <w:tcPr>
            <w:tcW w:w="2880" w:type="dxa"/>
            <w:vAlign w:val="center"/>
          </w:tcPr>
          <w:p>
            <w:pPr>
              <w:pStyle w:val="16"/>
            </w:pPr>
            <w:r>
              <w:t>以调查问卷方式，调查来访群众对工作人员工作服务的满意程度</w:t>
            </w:r>
          </w:p>
        </w:tc>
        <w:tc>
          <w:tcPr>
            <w:tcW w:w="2805" w:type="dxa"/>
            <w:vAlign w:val="center"/>
          </w:tcPr>
          <w:p>
            <w:pPr>
              <w:pStyle w:val="16"/>
            </w:pPr>
            <w:r>
              <w:t>≥85通过抽查问卷的方式，调查对工作人员工作服务的满意程度</w:t>
            </w:r>
          </w:p>
        </w:tc>
        <w:tc>
          <w:tcPr>
            <w:tcW w:w="2795" w:type="dxa"/>
            <w:vAlign w:val="center"/>
          </w:tcPr>
          <w:p>
            <w:pPr>
              <w:pStyle w:val="16"/>
            </w:pPr>
            <w:r>
              <w:t>来访群众对劳务派遣人员信访工作服务的满意程度,调查中满意和较满意的人数占调查总人数的比率</w:t>
            </w:r>
          </w:p>
        </w:tc>
      </w:tr>
    </w:tbl>
    <w:p/>
    <w:p>
      <w:pPr>
        <w:ind w:firstLine="560"/>
        <w:outlineLvl w:val="3"/>
        <w:rPr>
          <w:rFonts w:ascii="方正仿宋_GBK" w:hAnsi="方正仿宋_GBK" w:eastAsia="方正仿宋_GBK" w:cs="方正仿宋_GBK"/>
          <w:color w:val="000000"/>
          <w:sz w:val="28"/>
        </w:rPr>
      </w:pPr>
      <w:bookmarkStart w:id="16" w:name="_Toc_4_4_0000000005"/>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bookmarkEnd w:id="16"/>
    <w:p>
      <w:pPr>
        <w:ind w:firstLine="560"/>
        <w:outlineLvl w:val="3"/>
      </w:pPr>
      <w:r>
        <w:rPr>
          <w:rFonts w:ascii="方正仿宋_GBK" w:hAnsi="方正仿宋_GBK" w:eastAsia="方正仿宋_GBK" w:cs="方正仿宋_GBK"/>
          <w:color w:val="000000"/>
          <w:sz w:val="28"/>
        </w:rPr>
        <w:t>2.群众工作中心整合资源联合办公绩效目标表</w:t>
      </w:r>
    </w:p>
    <w:tbl>
      <w:tblPr>
        <w:tblStyle w:val="8"/>
        <w:tblW w:w="13924" w:type="dxa"/>
        <w:jc w:val="right"/>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9"/>
        <w:gridCol w:w="1455"/>
        <w:gridCol w:w="1530"/>
        <w:gridCol w:w="2385"/>
        <w:gridCol w:w="2760"/>
        <w:gridCol w:w="1635"/>
        <w:gridCol w:w="27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right"/>
        </w:trPr>
        <w:tc>
          <w:tcPr>
            <w:tcW w:w="11154" w:type="dxa"/>
            <w:gridSpan w:val="6"/>
            <w:tcBorders>
              <w:top w:val="single" w:color="FFFFFF" w:sz="6" w:space="0"/>
              <w:left w:val="single" w:color="FFFFFF" w:sz="6" w:space="0"/>
              <w:right w:val="single" w:color="FFFFFF" w:sz="6" w:space="0"/>
            </w:tcBorders>
            <w:vAlign w:val="center"/>
          </w:tcPr>
          <w:p>
            <w:pPr>
              <w:pStyle w:val="20"/>
            </w:pPr>
            <w:r>
              <w:t>202001阜平县信访局本级</w:t>
            </w:r>
          </w:p>
        </w:tc>
        <w:tc>
          <w:tcPr>
            <w:tcW w:w="2770"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1389" w:type="dxa"/>
            <w:vAlign w:val="center"/>
          </w:tcPr>
          <w:p>
            <w:pPr>
              <w:pStyle w:val="14"/>
            </w:pPr>
            <w:r>
              <w:t>项目编码</w:t>
            </w:r>
          </w:p>
        </w:tc>
        <w:tc>
          <w:tcPr>
            <w:tcW w:w="2985" w:type="dxa"/>
            <w:gridSpan w:val="2"/>
            <w:vAlign w:val="center"/>
          </w:tcPr>
          <w:p>
            <w:pPr>
              <w:pStyle w:val="16"/>
            </w:pPr>
            <w:r>
              <w:t>13062423P00025610001L</w:t>
            </w:r>
          </w:p>
        </w:tc>
        <w:tc>
          <w:tcPr>
            <w:tcW w:w="2385" w:type="dxa"/>
            <w:vAlign w:val="center"/>
          </w:tcPr>
          <w:p>
            <w:pPr>
              <w:pStyle w:val="14"/>
            </w:pPr>
            <w:r>
              <w:t>项目名称</w:t>
            </w:r>
          </w:p>
        </w:tc>
        <w:tc>
          <w:tcPr>
            <w:tcW w:w="7165" w:type="dxa"/>
            <w:gridSpan w:val="3"/>
            <w:vAlign w:val="center"/>
          </w:tcPr>
          <w:p>
            <w:pPr>
              <w:pStyle w:val="16"/>
            </w:pPr>
            <w:r>
              <w:t>群众工作中心整合资源联合办公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jc w:val="right"/>
        </w:trPr>
        <w:tc>
          <w:tcPr>
            <w:tcW w:w="1389" w:type="dxa"/>
            <w:vMerge w:val="restart"/>
            <w:vAlign w:val="center"/>
          </w:tcPr>
          <w:p>
            <w:pPr>
              <w:pStyle w:val="14"/>
            </w:pPr>
            <w:r>
              <w:t>预算规模及资金用途</w:t>
            </w:r>
          </w:p>
        </w:tc>
        <w:tc>
          <w:tcPr>
            <w:tcW w:w="1455" w:type="dxa"/>
            <w:vAlign w:val="center"/>
          </w:tcPr>
          <w:p>
            <w:pPr>
              <w:pStyle w:val="14"/>
            </w:pPr>
            <w:r>
              <w:t>预算数</w:t>
            </w:r>
          </w:p>
        </w:tc>
        <w:tc>
          <w:tcPr>
            <w:tcW w:w="1530" w:type="dxa"/>
            <w:vAlign w:val="center"/>
          </w:tcPr>
          <w:p>
            <w:pPr>
              <w:pStyle w:val="16"/>
              <w:rPr>
                <w:lang w:eastAsia="zh-CN"/>
              </w:rPr>
            </w:pPr>
            <w:r>
              <w:rPr>
                <w:rFonts w:hint="eastAsia"/>
                <w:lang w:eastAsia="zh-CN"/>
              </w:rPr>
              <w:t>22.65</w:t>
            </w:r>
          </w:p>
        </w:tc>
        <w:tc>
          <w:tcPr>
            <w:tcW w:w="2385" w:type="dxa"/>
            <w:vAlign w:val="center"/>
          </w:tcPr>
          <w:p>
            <w:pPr>
              <w:pStyle w:val="14"/>
            </w:pPr>
            <w:r>
              <w:t>其</w:t>
            </w:r>
            <w:r>
              <w:rPr>
                <w:rFonts w:hint="eastAsia"/>
                <w:lang w:eastAsia="zh-CN"/>
              </w:rPr>
              <w:t>中:</w:t>
            </w:r>
            <w:r>
              <w:t>财政资金</w:t>
            </w:r>
          </w:p>
        </w:tc>
        <w:tc>
          <w:tcPr>
            <w:tcW w:w="2760" w:type="dxa"/>
            <w:vAlign w:val="center"/>
          </w:tcPr>
          <w:p>
            <w:pPr>
              <w:pStyle w:val="16"/>
              <w:rPr>
                <w:lang w:eastAsia="zh-CN"/>
              </w:rPr>
            </w:pPr>
            <w:r>
              <w:rPr>
                <w:rFonts w:hint="eastAsia"/>
                <w:lang w:eastAsia="zh-CN"/>
              </w:rPr>
              <w:t>22.65</w:t>
            </w:r>
          </w:p>
        </w:tc>
        <w:tc>
          <w:tcPr>
            <w:tcW w:w="1635" w:type="dxa"/>
            <w:vAlign w:val="center"/>
          </w:tcPr>
          <w:p>
            <w:pPr>
              <w:pStyle w:val="14"/>
            </w:pPr>
            <w:r>
              <w:t>其他资金</w:t>
            </w:r>
          </w:p>
        </w:tc>
        <w:tc>
          <w:tcPr>
            <w:tcW w:w="2770"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1389" w:type="dxa"/>
            <w:vMerge w:val="continue"/>
          </w:tcPr>
          <w:p/>
        </w:tc>
        <w:tc>
          <w:tcPr>
            <w:tcW w:w="12535" w:type="dxa"/>
            <w:gridSpan w:val="6"/>
            <w:vAlign w:val="center"/>
          </w:tcPr>
          <w:p>
            <w:pPr>
              <w:pStyle w:val="16"/>
            </w:pPr>
            <w:r>
              <w:t>保障信访各项工作正常运转，实现“一站式接待”、“一厅式办理”、“一揽子解决”的接访工作态势，打造阳光信访、效能信访，为全县信访稳定做好保障。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1389" w:type="dxa"/>
            <w:vMerge w:val="restart"/>
            <w:vAlign w:val="center"/>
          </w:tcPr>
          <w:p>
            <w:pPr>
              <w:pStyle w:val="14"/>
            </w:pPr>
            <w:r>
              <w:t>资金支出计划（%）</w:t>
            </w:r>
          </w:p>
        </w:tc>
        <w:tc>
          <w:tcPr>
            <w:tcW w:w="2985" w:type="dxa"/>
            <w:gridSpan w:val="2"/>
            <w:vAlign w:val="center"/>
          </w:tcPr>
          <w:p>
            <w:pPr>
              <w:pStyle w:val="14"/>
            </w:pPr>
            <w:r>
              <w:t>3月底</w:t>
            </w:r>
          </w:p>
        </w:tc>
        <w:tc>
          <w:tcPr>
            <w:tcW w:w="2385" w:type="dxa"/>
            <w:vAlign w:val="center"/>
          </w:tcPr>
          <w:p>
            <w:pPr>
              <w:pStyle w:val="14"/>
            </w:pPr>
            <w:r>
              <w:t>6月底</w:t>
            </w:r>
          </w:p>
        </w:tc>
        <w:tc>
          <w:tcPr>
            <w:tcW w:w="2760" w:type="dxa"/>
            <w:vAlign w:val="center"/>
          </w:tcPr>
          <w:p>
            <w:pPr>
              <w:pStyle w:val="14"/>
            </w:pPr>
            <w:r>
              <w:t>10月底</w:t>
            </w:r>
          </w:p>
        </w:tc>
        <w:tc>
          <w:tcPr>
            <w:tcW w:w="4405"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1389" w:type="dxa"/>
            <w:vMerge w:val="continue"/>
          </w:tcPr>
          <w:p/>
        </w:tc>
        <w:tc>
          <w:tcPr>
            <w:tcW w:w="2985" w:type="dxa"/>
            <w:gridSpan w:val="2"/>
            <w:vAlign w:val="center"/>
          </w:tcPr>
          <w:p>
            <w:pPr>
              <w:pStyle w:val="17"/>
            </w:pPr>
            <w:r>
              <w:t>25%</w:t>
            </w:r>
          </w:p>
        </w:tc>
        <w:tc>
          <w:tcPr>
            <w:tcW w:w="2385" w:type="dxa"/>
            <w:vAlign w:val="center"/>
          </w:tcPr>
          <w:p>
            <w:pPr>
              <w:pStyle w:val="17"/>
            </w:pPr>
            <w:r>
              <w:t>50%</w:t>
            </w:r>
          </w:p>
        </w:tc>
        <w:tc>
          <w:tcPr>
            <w:tcW w:w="2760" w:type="dxa"/>
            <w:vAlign w:val="center"/>
          </w:tcPr>
          <w:p>
            <w:pPr>
              <w:pStyle w:val="17"/>
            </w:pPr>
            <w:r>
              <w:t>75%</w:t>
            </w:r>
          </w:p>
        </w:tc>
        <w:tc>
          <w:tcPr>
            <w:tcW w:w="4405"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1389" w:type="dxa"/>
            <w:vAlign w:val="center"/>
          </w:tcPr>
          <w:p>
            <w:pPr>
              <w:pStyle w:val="14"/>
            </w:pPr>
            <w:r>
              <w:t>绩效目标</w:t>
            </w:r>
          </w:p>
        </w:tc>
        <w:tc>
          <w:tcPr>
            <w:tcW w:w="12535" w:type="dxa"/>
            <w:gridSpan w:val="6"/>
            <w:vAlign w:val="center"/>
          </w:tcPr>
          <w:p>
            <w:pPr>
              <w:pStyle w:val="16"/>
            </w:pPr>
            <w:r>
              <w:t>1.保障信访各项工作正常运转，实现“一站式接待”、“一厅式办理”、“一揽子解决”的接访工作态势，打造阳光信访、效能信访，为全县信访稳定做好保障。</w:t>
            </w:r>
            <w:r>
              <w:tab/>
            </w:r>
            <w:r>
              <w:tab/>
            </w:r>
            <w:r>
              <w:tab/>
            </w:r>
            <w:r>
              <w:tab/>
            </w:r>
            <w:r>
              <w:tab/>
            </w:r>
            <w:r>
              <w:tab/>
            </w:r>
            <w:r>
              <w:tab/>
            </w:r>
          </w:p>
          <w:p>
            <w:pPr>
              <w:pStyle w:val="16"/>
              <w:rPr>
                <w:lang w:eastAsia="zh-CN"/>
              </w:rPr>
            </w:pPr>
            <w:r>
              <w:t>2.保障整合资源联合办公经费按时发放与使用</w:t>
            </w:r>
            <w:r>
              <w:rPr>
                <w:rFonts w:hint="eastAsia"/>
                <w:lang w:eastAsia="zh-CN"/>
              </w:rPr>
              <w:t>.</w:t>
            </w:r>
          </w:p>
        </w:tc>
      </w:tr>
    </w:tbl>
    <w:tbl>
      <w:tblPr>
        <w:tblStyle w:val="8"/>
        <w:tblpPr w:leftFromText="180" w:rightFromText="180" w:vertAnchor="text" w:horzAnchor="page" w:tblpX="2139" w:tblpY="34"/>
        <w:tblOverlap w:val="never"/>
        <w:tblW w:w="1393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1"/>
        <w:gridCol w:w="1875"/>
        <w:gridCol w:w="1935"/>
        <w:gridCol w:w="2400"/>
        <w:gridCol w:w="2595"/>
        <w:gridCol w:w="37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71" w:type="dxa"/>
            <w:vAlign w:val="center"/>
          </w:tcPr>
          <w:p>
            <w:pPr>
              <w:pStyle w:val="14"/>
            </w:pPr>
            <w:r>
              <w:t>一级指标</w:t>
            </w:r>
          </w:p>
        </w:tc>
        <w:tc>
          <w:tcPr>
            <w:tcW w:w="1875" w:type="dxa"/>
            <w:vAlign w:val="center"/>
          </w:tcPr>
          <w:p>
            <w:pPr>
              <w:pStyle w:val="14"/>
            </w:pPr>
            <w:r>
              <w:t>二级指标</w:t>
            </w:r>
          </w:p>
        </w:tc>
        <w:tc>
          <w:tcPr>
            <w:tcW w:w="1935" w:type="dxa"/>
            <w:vAlign w:val="center"/>
          </w:tcPr>
          <w:p>
            <w:pPr>
              <w:pStyle w:val="14"/>
            </w:pPr>
            <w:r>
              <w:t>三级指标</w:t>
            </w:r>
          </w:p>
        </w:tc>
        <w:tc>
          <w:tcPr>
            <w:tcW w:w="2400" w:type="dxa"/>
            <w:vAlign w:val="center"/>
          </w:tcPr>
          <w:p>
            <w:pPr>
              <w:pStyle w:val="14"/>
            </w:pPr>
            <w:r>
              <w:t>绩效指标描述</w:t>
            </w:r>
          </w:p>
        </w:tc>
        <w:tc>
          <w:tcPr>
            <w:tcW w:w="2595" w:type="dxa"/>
            <w:vAlign w:val="center"/>
          </w:tcPr>
          <w:p>
            <w:pPr>
              <w:pStyle w:val="14"/>
            </w:pPr>
            <w:r>
              <w:t>指标值</w:t>
            </w:r>
          </w:p>
        </w:tc>
        <w:tc>
          <w:tcPr>
            <w:tcW w:w="375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restart"/>
            <w:vAlign w:val="center"/>
          </w:tcPr>
          <w:p>
            <w:pPr>
              <w:pStyle w:val="17"/>
            </w:pPr>
            <w:r>
              <w:t>产出指标</w:t>
            </w:r>
          </w:p>
        </w:tc>
        <w:tc>
          <w:tcPr>
            <w:tcW w:w="1875" w:type="dxa"/>
            <w:vAlign w:val="center"/>
          </w:tcPr>
          <w:p>
            <w:pPr>
              <w:pStyle w:val="16"/>
            </w:pPr>
            <w:r>
              <w:t>数量指标</w:t>
            </w:r>
          </w:p>
        </w:tc>
        <w:tc>
          <w:tcPr>
            <w:tcW w:w="1935" w:type="dxa"/>
            <w:vAlign w:val="center"/>
          </w:tcPr>
          <w:p>
            <w:pPr>
              <w:pStyle w:val="16"/>
            </w:pPr>
            <w:r>
              <w:t>资金保障率</w:t>
            </w:r>
          </w:p>
        </w:tc>
        <w:tc>
          <w:tcPr>
            <w:tcW w:w="2400" w:type="dxa"/>
            <w:vAlign w:val="center"/>
          </w:tcPr>
          <w:p>
            <w:pPr>
              <w:pStyle w:val="16"/>
            </w:pPr>
            <w:r>
              <w:t>资金能否保障各项日常工作的正常运行</w:t>
            </w:r>
          </w:p>
        </w:tc>
        <w:tc>
          <w:tcPr>
            <w:tcW w:w="2595" w:type="dxa"/>
            <w:vAlign w:val="center"/>
          </w:tcPr>
          <w:p>
            <w:pPr>
              <w:pStyle w:val="16"/>
            </w:pPr>
            <w:r>
              <w:t>≥85资金能否保障各项日常工作的正常运行</w:t>
            </w:r>
          </w:p>
        </w:tc>
        <w:tc>
          <w:tcPr>
            <w:tcW w:w="3757" w:type="dxa"/>
            <w:vAlign w:val="center"/>
          </w:tcPr>
          <w:p>
            <w:pPr>
              <w:pStyle w:val="16"/>
            </w:pPr>
            <w:r>
              <w:t>资保障各项日常工作正常运行的比率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continue"/>
            <w:vAlign w:val="center"/>
          </w:tcPr>
          <w:p/>
        </w:tc>
        <w:tc>
          <w:tcPr>
            <w:tcW w:w="1875" w:type="dxa"/>
            <w:vAlign w:val="center"/>
          </w:tcPr>
          <w:p>
            <w:pPr>
              <w:pStyle w:val="16"/>
            </w:pPr>
            <w:r>
              <w:t>质量指标</w:t>
            </w:r>
          </w:p>
        </w:tc>
        <w:tc>
          <w:tcPr>
            <w:tcW w:w="1935" w:type="dxa"/>
            <w:vAlign w:val="center"/>
          </w:tcPr>
          <w:p>
            <w:pPr>
              <w:pStyle w:val="16"/>
            </w:pPr>
            <w:r>
              <w:t>资金拨付正确率</w:t>
            </w:r>
          </w:p>
        </w:tc>
        <w:tc>
          <w:tcPr>
            <w:tcW w:w="2400" w:type="dxa"/>
            <w:vAlign w:val="center"/>
          </w:tcPr>
          <w:p>
            <w:pPr>
              <w:pStyle w:val="16"/>
            </w:pPr>
            <w:r>
              <w:t>资金是否能够按照科目正确拨付使用</w:t>
            </w:r>
          </w:p>
        </w:tc>
        <w:tc>
          <w:tcPr>
            <w:tcW w:w="2595" w:type="dxa"/>
            <w:vAlign w:val="center"/>
          </w:tcPr>
          <w:p>
            <w:pPr>
              <w:pStyle w:val="16"/>
            </w:pPr>
            <w:r>
              <w:t>≥80资金是否能够按照科目正确拨付使用</w:t>
            </w:r>
          </w:p>
        </w:tc>
        <w:tc>
          <w:tcPr>
            <w:tcW w:w="3757" w:type="dxa"/>
            <w:vAlign w:val="center"/>
          </w:tcPr>
          <w:p>
            <w:pPr>
              <w:pStyle w:val="16"/>
            </w:pPr>
            <w:r>
              <w:t>资金按照科目正确拨付使用的比率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continue"/>
            <w:vAlign w:val="center"/>
          </w:tcPr>
          <w:p/>
        </w:tc>
        <w:tc>
          <w:tcPr>
            <w:tcW w:w="1875" w:type="dxa"/>
            <w:vAlign w:val="center"/>
          </w:tcPr>
          <w:p>
            <w:pPr>
              <w:pStyle w:val="16"/>
            </w:pPr>
            <w:r>
              <w:t>成本指标</w:t>
            </w:r>
          </w:p>
        </w:tc>
        <w:tc>
          <w:tcPr>
            <w:tcW w:w="1935" w:type="dxa"/>
            <w:vAlign w:val="center"/>
          </w:tcPr>
          <w:p>
            <w:pPr>
              <w:pStyle w:val="16"/>
            </w:pPr>
            <w:r>
              <w:t>资金申请率</w:t>
            </w:r>
          </w:p>
        </w:tc>
        <w:tc>
          <w:tcPr>
            <w:tcW w:w="2400" w:type="dxa"/>
            <w:vAlign w:val="center"/>
          </w:tcPr>
          <w:p>
            <w:pPr>
              <w:pStyle w:val="16"/>
            </w:pPr>
            <w:r>
              <w:t>资金是否能够正常申请到位</w:t>
            </w:r>
          </w:p>
        </w:tc>
        <w:tc>
          <w:tcPr>
            <w:tcW w:w="2595" w:type="dxa"/>
            <w:vAlign w:val="center"/>
          </w:tcPr>
          <w:p>
            <w:pPr>
              <w:pStyle w:val="16"/>
            </w:pPr>
            <w:r>
              <w:t>≥80资金是否能够正常申请到位</w:t>
            </w:r>
          </w:p>
        </w:tc>
        <w:tc>
          <w:tcPr>
            <w:tcW w:w="3757" w:type="dxa"/>
            <w:vAlign w:val="center"/>
          </w:tcPr>
          <w:p>
            <w:pPr>
              <w:pStyle w:val="16"/>
            </w:pPr>
            <w:r>
              <w:t>资金正常申请情况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continue"/>
            <w:vAlign w:val="center"/>
          </w:tcPr>
          <w:p/>
        </w:tc>
        <w:tc>
          <w:tcPr>
            <w:tcW w:w="1875" w:type="dxa"/>
            <w:vAlign w:val="center"/>
          </w:tcPr>
          <w:p>
            <w:pPr>
              <w:pStyle w:val="16"/>
            </w:pPr>
            <w:r>
              <w:t>时效指标</w:t>
            </w:r>
          </w:p>
        </w:tc>
        <w:tc>
          <w:tcPr>
            <w:tcW w:w="1935" w:type="dxa"/>
            <w:vAlign w:val="center"/>
          </w:tcPr>
          <w:p>
            <w:pPr>
              <w:pStyle w:val="16"/>
            </w:pPr>
            <w:r>
              <w:t>资金按时拨付率</w:t>
            </w:r>
          </w:p>
        </w:tc>
        <w:tc>
          <w:tcPr>
            <w:tcW w:w="2400" w:type="dxa"/>
            <w:vAlign w:val="center"/>
          </w:tcPr>
          <w:p>
            <w:pPr>
              <w:pStyle w:val="16"/>
            </w:pPr>
            <w:r>
              <w:t>资金是否按时拨付使用</w:t>
            </w:r>
          </w:p>
        </w:tc>
        <w:tc>
          <w:tcPr>
            <w:tcW w:w="2595" w:type="dxa"/>
            <w:vAlign w:val="center"/>
          </w:tcPr>
          <w:p>
            <w:pPr>
              <w:pStyle w:val="16"/>
            </w:pPr>
            <w:r>
              <w:t>≥70资金及时支出情况占资金拨付情况的比率</w:t>
            </w:r>
          </w:p>
        </w:tc>
        <w:tc>
          <w:tcPr>
            <w:tcW w:w="3757" w:type="dxa"/>
            <w:vAlign w:val="center"/>
          </w:tcPr>
          <w:p>
            <w:pPr>
              <w:pStyle w:val="16"/>
            </w:pPr>
            <w:r>
              <w:t>资金及时支出情况占资金拨付情况的比率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6" w:hRule="atLeast"/>
        </w:trPr>
        <w:tc>
          <w:tcPr>
            <w:tcW w:w="1371" w:type="dxa"/>
            <w:vMerge w:val="restart"/>
            <w:vAlign w:val="center"/>
          </w:tcPr>
          <w:p>
            <w:pPr>
              <w:pStyle w:val="17"/>
            </w:pPr>
            <w:r>
              <w:t>效益指标</w:t>
            </w:r>
          </w:p>
        </w:tc>
        <w:tc>
          <w:tcPr>
            <w:tcW w:w="1875" w:type="dxa"/>
            <w:vAlign w:val="center"/>
          </w:tcPr>
          <w:p>
            <w:pPr>
              <w:pStyle w:val="16"/>
            </w:pPr>
            <w:r>
              <w:t>社会效益指标</w:t>
            </w:r>
          </w:p>
        </w:tc>
        <w:tc>
          <w:tcPr>
            <w:tcW w:w="1935" w:type="dxa"/>
            <w:vAlign w:val="center"/>
          </w:tcPr>
          <w:p>
            <w:pPr>
              <w:pStyle w:val="16"/>
            </w:pPr>
            <w:r>
              <w:t>及时受理群众来信来访率</w:t>
            </w:r>
          </w:p>
        </w:tc>
        <w:tc>
          <w:tcPr>
            <w:tcW w:w="2400" w:type="dxa"/>
            <w:vAlign w:val="center"/>
          </w:tcPr>
          <w:p>
            <w:pPr>
              <w:pStyle w:val="16"/>
            </w:pPr>
            <w:r>
              <w:t>资金能否保障及时受理群众来信来访</w:t>
            </w:r>
          </w:p>
        </w:tc>
        <w:tc>
          <w:tcPr>
            <w:tcW w:w="2595" w:type="dxa"/>
            <w:vAlign w:val="center"/>
          </w:tcPr>
          <w:p>
            <w:pPr>
              <w:pStyle w:val="16"/>
            </w:pPr>
            <w:r>
              <w:t>≥85及时受理群众来信、来访、网上信访以及越级访情况</w:t>
            </w:r>
          </w:p>
        </w:tc>
        <w:tc>
          <w:tcPr>
            <w:tcW w:w="3757" w:type="dxa"/>
            <w:vAlign w:val="center"/>
          </w:tcPr>
          <w:p>
            <w:pPr>
              <w:pStyle w:val="16"/>
            </w:pPr>
            <w:r>
              <w:t>及时受理群众来信、来访、网上信访以及越级访情况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2" w:hRule="atLeast"/>
        </w:trPr>
        <w:tc>
          <w:tcPr>
            <w:tcW w:w="1371" w:type="dxa"/>
            <w:vMerge w:val="continue"/>
            <w:vAlign w:val="center"/>
          </w:tcPr>
          <w:p/>
        </w:tc>
        <w:tc>
          <w:tcPr>
            <w:tcW w:w="1875" w:type="dxa"/>
            <w:vAlign w:val="center"/>
          </w:tcPr>
          <w:p>
            <w:pPr>
              <w:pStyle w:val="16"/>
            </w:pPr>
            <w:r>
              <w:t>可持续影响指标</w:t>
            </w:r>
          </w:p>
        </w:tc>
        <w:tc>
          <w:tcPr>
            <w:tcW w:w="1935" w:type="dxa"/>
            <w:vAlign w:val="center"/>
          </w:tcPr>
          <w:p>
            <w:pPr>
              <w:pStyle w:val="16"/>
            </w:pPr>
            <w:r>
              <w:t>维护社会稳定</w:t>
            </w:r>
          </w:p>
        </w:tc>
        <w:tc>
          <w:tcPr>
            <w:tcW w:w="2400" w:type="dxa"/>
            <w:vAlign w:val="center"/>
          </w:tcPr>
          <w:p>
            <w:pPr>
              <w:pStyle w:val="16"/>
            </w:pPr>
            <w:r>
              <w:t>保障信访业务工作顺利进行，维护社会稳定</w:t>
            </w:r>
          </w:p>
        </w:tc>
        <w:tc>
          <w:tcPr>
            <w:tcW w:w="2595" w:type="dxa"/>
            <w:vAlign w:val="center"/>
          </w:tcPr>
          <w:p>
            <w:pPr>
              <w:pStyle w:val="16"/>
            </w:pPr>
            <w:r>
              <w:t>≥90保障信访业务工作顺利进行</w:t>
            </w:r>
          </w:p>
        </w:tc>
        <w:tc>
          <w:tcPr>
            <w:tcW w:w="3757" w:type="dxa"/>
            <w:vAlign w:val="center"/>
          </w:tcPr>
          <w:p>
            <w:pPr>
              <w:pStyle w:val="16"/>
            </w:pPr>
            <w:r>
              <w:t>通过拨付资金保障信访业务工作顺利进行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continue"/>
            <w:vAlign w:val="center"/>
          </w:tcPr>
          <w:p/>
        </w:tc>
        <w:tc>
          <w:tcPr>
            <w:tcW w:w="1875" w:type="dxa"/>
            <w:vAlign w:val="center"/>
          </w:tcPr>
          <w:p>
            <w:pPr>
              <w:pStyle w:val="16"/>
            </w:pPr>
            <w:r>
              <w:t>生态效益指标</w:t>
            </w:r>
          </w:p>
        </w:tc>
        <w:tc>
          <w:tcPr>
            <w:tcW w:w="1935" w:type="dxa"/>
            <w:vAlign w:val="center"/>
          </w:tcPr>
          <w:p>
            <w:pPr>
              <w:pStyle w:val="16"/>
            </w:pPr>
            <w:r>
              <w:t>社会影响力</w:t>
            </w:r>
          </w:p>
        </w:tc>
        <w:tc>
          <w:tcPr>
            <w:tcW w:w="2400" w:type="dxa"/>
            <w:vAlign w:val="center"/>
          </w:tcPr>
          <w:p>
            <w:pPr>
              <w:pStyle w:val="16"/>
            </w:pPr>
            <w:r>
              <w:t>能否得到广大群众的充分认可</w:t>
            </w:r>
          </w:p>
        </w:tc>
        <w:tc>
          <w:tcPr>
            <w:tcW w:w="2595" w:type="dxa"/>
            <w:vAlign w:val="center"/>
          </w:tcPr>
          <w:p>
            <w:pPr>
              <w:pStyle w:val="16"/>
            </w:pPr>
            <w:r>
              <w:t>≥80实现一站式接待，一厅式办公，提高群众认可率</w:t>
            </w:r>
          </w:p>
        </w:tc>
        <w:tc>
          <w:tcPr>
            <w:tcW w:w="3757" w:type="dxa"/>
            <w:vAlign w:val="center"/>
          </w:tcPr>
          <w:p>
            <w:pPr>
              <w:pStyle w:val="16"/>
            </w:pPr>
            <w:r>
              <w:t>群众对实行网上信访、一站式接待、约访、领导公开接访等新信访的认可程度。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continue"/>
            <w:vAlign w:val="center"/>
          </w:tcPr>
          <w:p/>
        </w:tc>
        <w:tc>
          <w:tcPr>
            <w:tcW w:w="1875" w:type="dxa"/>
            <w:vAlign w:val="center"/>
          </w:tcPr>
          <w:p>
            <w:pPr>
              <w:pStyle w:val="16"/>
            </w:pPr>
            <w:r>
              <w:t>经济效益指标</w:t>
            </w:r>
          </w:p>
        </w:tc>
        <w:tc>
          <w:tcPr>
            <w:tcW w:w="1935" w:type="dxa"/>
            <w:vAlign w:val="center"/>
          </w:tcPr>
          <w:p>
            <w:pPr>
              <w:pStyle w:val="16"/>
            </w:pPr>
            <w:r>
              <w:t>提高工作效率</w:t>
            </w:r>
          </w:p>
        </w:tc>
        <w:tc>
          <w:tcPr>
            <w:tcW w:w="2400" w:type="dxa"/>
            <w:vAlign w:val="center"/>
          </w:tcPr>
          <w:p>
            <w:pPr>
              <w:pStyle w:val="16"/>
            </w:pPr>
            <w:r>
              <w:t>是否能提高信访日常工作效率</w:t>
            </w:r>
          </w:p>
        </w:tc>
        <w:tc>
          <w:tcPr>
            <w:tcW w:w="2595" w:type="dxa"/>
            <w:vAlign w:val="center"/>
          </w:tcPr>
          <w:p>
            <w:pPr>
              <w:pStyle w:val="16"/>
            </w:pPr>
            <w:r>
              <w:t>≥85通过资金使用，提高信访工作日常效率</w:t>
            </w:r>
          </w:p>
        </w:tc>
        <w:tc>
          <w:tcPr>
            <w:tcW w:w="3757" w:type="dxa"/>
            <w:vAlign w:val="center"/>
          </w:tcPr>
          <w:p>
            <w:pPr>
              <w:pStyle w:val="16"/>
            </w:pPr>
            <w:r>
              <w:t>整合资源联合办公经费是否能够提高信访工作的日常工作效率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Align w:val="center"/>
          </w:tcPr>
          <w:p>
            <w:pPr>
              <w:pStyle w:val="17"/>
            </w:pPr>
            <w:r>
              <w:t>满意度指标</w:t>
            </w:r>
          </w:p>
        </w:tc>
        <w:tc>
          <w:tcPr>
            <w:tcW w:w="1875" w:type="dxa"/>
            <w:vAlign w:val="center"/>
          </w:tcPr>
          <w:p>
            <w:pPr>
              <w:pStyle w:val="16"/>
            </w:pPr>
            <w:r>
              <w:t>服务对象满意度指标</w:t>
            </w:r>
          </w:p>
        </w:tc>
        <w:tc>
          <w:tcPr>
            <w:tcW w:w="1935" w:type="dxa"/>
            <w:vAlign w:val="center"/>
          </w:tcPr>
          <w:p>
            <w:pPr>
              <w:pStyle w:val="16"/>
            </w:pPr>
            <w:r>
              <w:t>信访群众满意度</w:t>
            </w:r>
          </w:p>
        </w:tc>
        <w:tc>
          <w:tcPr>
            <w:tcW w:w="2400" w:type="dxa"/>
            <w:vAlign w:val="center"/>
          </w:tcPr>
          <w:p>
            <w:pPr>
              <w:pStyle w:val="16"/>
            </w:pPr>
            <w:r>
              <w:t>信访群众满意度</w:t>
            </w:r>
          </w:p>
        </w:tc>
        <w:tc>
          <w:tcPr>
            <w:tcW w:w="2595" w:type="dxa"/>
            <w:vAlign w:val="center"/>
          </w:tcPr>
          <w:p>
            <w:pPr>
              <w:pStyle w:val="16"/>
            </w:pPr>
            <w:r>
              <w:t>≥85来访群众对服务质量的满意程度</w:t>
            </w:r>
          </w:p>
        </w:tc>
        <w:tc>
          <w:tcPr>
            <w:tcW w:w="3757" w:type="dxa"/>
            <w:vAlign w:val="center"/>
          </w:tcPr>
          <w:p>
            <w:pPr>
              <w:pStyle w:val="16"/>
            </w:pPr>
            <w:r>
              <w:t>通过抽样调查的方式，对来访群众进行问卷调查，来访群众达到满意程度的比率</w:t>
            </w:r>
          </w:p>
        </w:tc>
      </w:tr>
    </w:tbl>
    <w:p>
      <w:pPr>
        <w:spacing w:line="2" w:lineRule="exact"/>
        <w:jc w:val="center"/>
      </w:pPr>
      <w:r>
        <w:rPr>
          <w:rFonts w:ascii="方正书宋_GBK" w:hAnsi="方正书宋_GBK" w:eastAsia="方正书宋_GBK" w:cs="方正书宋_GBK"/>
          <w:color w:val="000000"/>
          <w:sz w:val="21"/>
        </w:rPr>
        <w:t xml:space="preserve"> </w:t>
      </w:r>
    </w:p>
    <w:p/>
    <w:p/>
    <w:p/>
    <w:p/>
    <w:p/>
    <w:p/>
    <w:p/>
    <w:p/>
    <w:p/>
    <w:p/>
    <w:p>
      <w:pPr>
        <w:ind w:firstLine="640" w:firstLineChars="200"/>
        <w:jc w:val="both"/>
        <w:rPr>
          <w:rFonts w:ascii="黑体" w:hAnsi="黑体" w:eastAsia="黑体" w:cs="黑体"/>
          <w:color w:val="000000"/>
          <w:sz w:val="32"/>
        </w:rPr>
      </w:pPr>
    </w:p>
    <w:p/>
    <w:p/>
    <w:p/>
    <w:p/>
    <w:p/>
    <w:p/>
    <w:p/>
    <w:p/>
    <w:p/>
    <w:p/>
    <w:p/>
    <w:p/>
    <w:p/>
    <w:p/>
    <w:p/>
    <w:p/>
    <w:p/>
    <w:p/>
    <w:p/>
    <w:p/>
    <w:p/>
    <w:p/>
    <w:p>
      <w:pPr>
        <w:ind w:firstLine="640" w:firstLineChars="200"/>
        <w:jc w:val="both"/>
      </w:pPr>
      <w:r>
        <w:rPr>
          <w:rFonts w:ascii="黑体" w:hAnsi="黑体" w:eastAsia="黑体" w:cs="黑体"/>
          <w:color w:val="000000"/>
          <w:sz w:val="32"/>
        </w:rPr>
        <w:t>六、政府采购预算情况</w:t>
      </w:r>
      <w:bookmarkEnd w:id="15"/>
    </w:p>
    <w:p>
      <w:pPr>
        <w:spacing w:line="500" w:lineRule="exact"/>
        <w:ind w:firstLine="560"/>
        <w:rPr>
          <w:rFonts w:eastAsia="方正仿宋_GBK"/>
          <w:color w:val="000000"/>
          <w:sz w:val="28"/>
          <w:lang w:eastAsia="zh-CN"/>
        </w:rPr>
      </w:pPr>
      <w:r>
        <w:rPr>
          <w:rFonts w:hint="eastAsia" w:eastAsia="方正仿宋_GBK"/>
          <w:color w:val="000000"/>
          <w:sz w:val="28"/>
          <w:lang w:eastAsia="zh-CN"/>
        </w:rPr>
        <w:t>2023年，阜平县信访局政府采购预算总额0万元，采购项目0个，采购物品0元，采购数目0个，采购数量0个，采购金额0万元。从采购类型来看，政府采购货物支出0万元、政府采购工程支出0万元，占0%、政府采购服务支出0万元，0%。授予中小企业合同金额0万元，占政府采购支出总额的0%，其中授予小为企业合同金额0万元，占政府采购支出总额的0%。</w:t>
      </w:r>
    </w:p>
    <w:p>
      <w:pPr>
        <w:spacing w:line="500" w:lineRule="exact"/>
        <w:ind w:firstLine="720" w:firstLineChars="300"/>
        <w:rPr>
          <w:rFonts w:eastAsia="方正仿宋_GBK"/>
          <w:color w:val="000000"/>
          <w:sz w:val="28"/>
        </w:rPr>
      </w:pPr>
      <w:r>
        <w:rPr>
          <w:rFonts w:hint="eastAsia"/>
          <w:lang w:eastAsia="zh-CN"/>
        </w:rPr>
        <w:t xml:space="preserve">202阜平县信访局                                                                                </w:t>
      </w:r>
      <w:r>
        <w:rPr>
          <w:rFonts w:hint="eastAsia" w:ascii="方正书宋_GBK" w:eastAsia="方正书宋_GBK"/>
        </w:rPr>
        <w:t>单位：</w:t>
      </w:r>
      <w:r>
        <w:rPr>
          <w:rFonts w:hint="eastAsia" w:ascii="方正书宋_GBK" w:eastAsia="方正书宋_GBK"/>
          <w:lang w:eastAsia="zh-CN"/>
        </w:rPr>
        <w:t>万</w:t>
      </w:r>
      <w:r>
        <w:rPr>
          <w:rFonts w:hint="eastAsia" w:ascii="方正书宋_GBK" w:eastAsia="方正书宋_GBK"/>
        </w:rPr>
        <w:t>元</w:t>
      </w:r>
    </w:p>
    <w:tbl>
      <w:tblPr>
        <w:tblStyle w:val="8"/>
        <w:tblW w:w="13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1051"/>
        <w:gridCol w:w="1418"/>
        <w:gridCol w:w="1418"/>
        <w:gridCol w:w="656"/>
        <w:gridCol w:w="840"/>
        <w:gridCol w:w="840"/>
        <w:gridCol w:w="1050"/>
        <w:gridCol w:w="1050"/>
        <w:gridCol w:w="1050"/>
        <w:gridCol w:w="1050"/>
        <w:gridCol w:w="1050"/>
        <w:gridCol w:w="1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 w:hRule="atLeast"/>
          <w:tblHeader/>
          <w:jc w:val="center"/>
        </w:trPr>
        <w:tc>
          <w:tcPr>
            <w:tcW w:w="2162"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41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41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5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84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3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0" w:hRule="atLeast"/>
          <w:tblHeader/>
          <w:jc w:val="center"/>
        </w:trPr>
        <w:tc>
          <w:tcPr>
            <w:tcW w:w="111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418" w:type="dxa"/>
            <w:vMerge w:val="continue"/>
            <w:shd w:val="clear" w:color="auto" w:fill="auto"/>
            <w:vAlign w:val="center"/>
          </w:tcPr>
          <w:p>
            <w:pPr>
              <w:spacing w:line="300" w:lineRule="exact"/>
              <w:outlineLvl w:val="1"/>
              <w:rPr>
                <w:rFonts w:eastAsia="方正仿宋_GBK"/>
                <w:sz w:val="28"/>
              </w:rPr>
            </w:pPr>
          </w:p>
        </w:tc>
        <w:tc>
          <w:tcPr>
            <w:tcW w:w="1418" w:type="dxa"/>
            <w:vMerge w:val="continue"/>
            <w:shd w:val="clear" w:color="auto" w:fill="auto"/>
            <w:vAlign w:val="center"/>
          </w:tcPr>
          <w:p>
            <w:pPr>
              <w:spacing w:line="300" w:lineRule="exact"/>
              <w:outlineLvl w:val="1"/>
              <w:rPr>
                <w:rFonts w:eastAsia="方正仿宋_GBK"/>
                <w:sz w:val="28"/>
              </w:rPr>
            </w:pPr>
          </w:p>
        </w:tc>
        <w:tc>
          <w:tcPr>
            <w:tcW w:w="656" w:type="dxa"/>
            <w:vMerge w:val="continue"/>
            <w:shd w:val="clear" w:color="auto" w:fill="auto"/>
            <w:vAlign w:val="center"/>
          </w:tcPr>
          <w:p>
            <w:pPr>
              <w:spacing w:line="300" w:lineRule="exact"/>
              <w:outlineLvl w:val="1"/>
              <w:rPr>
                <w:rFonts w:eastAsia="方正仿宋_GBK"/>
                <w:sz w:val="28"/>
              </w:rPr>
            </w:pPr>
          </w:p>
        </w:tc>
        <w:tc>
          <w:tcPr>
            <w:tcW w:w="840" w:type="dxa"/>
            <w:vMerge w:val="continue"/>
            <w:shd w:val="clear" w:color="auto" w:fill="auto"/>
            <w:vAlign w:val="center"/>
          </w:tcPr>
          <w:p>
            <w:pPr>
              <w:spacing w:line="300" w:lineRule="exact"/>
              <w:outlineLvl w:val="1"/>
              <w:rPr>
                <w:rFonts w:eastAsia="方正仿宋_GBK"/>
                <w:sz w:val="28"/>
              </w:rPr>
            </w:pPr>
          </w:p>
        </w:tc>
        <w:tc>
          <w:tcPr>
            <w:tcW w:w="840" w:type="dxa"/>
            <w:vMerge w:val="continue"/>
            <w:shd w:val="clear" w:color="auto" w:fill="auto"/>
            <w:vAlign w:val="center"/>
          </w:tcPr>
          <w:p>
            <w:pPr>
              <w:spacing w:line="300" w:lineRule="exact"/>
              <w:outlineLvl w:val="1"/>
              <w:rPr>
                <w:rFonts w:eastAsia="方正仿宋_GBK"/>
                <w:sz w:val="28"/>
              </w:rPr>
            </w:pP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05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 w:hRule="atLeast"/>
          <w:jc w:val="center"/>
        </w:trPr>
        <w:tc>
          <w:tcPr>
            <w:tcW w:w="111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051" w:type="dxa"/>
            <w:shd w:val="clear" w:color="auto" w:fill="auto"/>
            <w:vAlign w:val="center"/>
          </w:tcPr>
          <w:p>
            <w:pPr>
              <w:spacing w:line="300" w:lineRule="exact"/>
              <w:jc w:val="righ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656" w:type="dxa"/>
            <w:shd w:val="clear" w:color="auto" w:fill="auto"/>
            <w:vAlign w:val="center"/>
          </w:tcPr>
          <w:p>
            <w:pPr>
              <w:spacing w:line="300" w:lineRule="exact"/>
              <w:jc w:val="center"/>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jc w:val="center"/>
        </w:trPr>
        <w:tc>
          <w:tcPr>
            <w:tcW w:w="1111" w:type="dxa"/>
            <w:shd w:val="clear" w:color="auto" w:fill="auto"/>
            <w:vAlign w:val="center"/>
          </w:tcPr>
          <w:p>
            <w:pPr>
              <w:spacing w:line="300" w:lineRule="exact"/>
              <w:jc w:val="center"/>
              <w:rPr>
                <w:rFonts w:ascii="方正书宋_GBK" w:eastAsia="方正书宋_GBK"/>
                <w:b/>
                <w:lang w:eastAsia="zh-CN"/>
              </w:rPr>
            </w:pPr>
          </w:p>
        </w:tc>
        <w:tc>
          <w:tcPr>
            <w:tcW w:w="1051" w:type="dxa"/>
            <w:shd w:val="clear" w:color="auto" w:fill="auto"/>
            <w:vAlign w:val="center"/>
          </w:tcPr>
          <w:p>
            <w:pPr>
              <w:spacing w:line="300" w:lineRule="exact"/>
              <w:jc w:val="righ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656" w:type="dxa"/>
            <w:shd w:val="clear" w:color="auto" w:fill="auto"/>
            <w:vAlign w:val="center"/>
          </w:tcPr>
          <w:p>
            <w:pPr>
              <w:spacing w:line="300" w:lineRule="exact"/>
              <w:jc w:val="center"/>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4" w:type="dxa"/>
            <w:shd w:val="clear" w:color="auto" w:fill="auto"/>
            <w:vAlign w:val="center"/>
          </w:tcPr>
          <w:p>
            <w:pPr>
              <w:spacing w:line="300" w:lineRule="exact"/>
              <w:jc w:val="right"/>
              <w:rPr>
                <w:rFonts w:ascii="方正书宋_GBK" w:eastAsia="方正书宋_GBK"/>
                <w:b/>
              </w:rPr>
            </w:pPr>
          </w:p>
        </w:tc>
      </w:tr>
    </w:tbl>
    <w:p>
      <w:pPr>
        <w:ind w:firstLine="630" w:firstLineChars="300"/>
        <w:rPr>
          <w:rFonts w:eastAsia="方正仿宋_GBK"/>
          <w:color w:val="000000"/>
          <w:sz w:val="28"/>
        </w:r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政府采购</w:t>
      </w:r>
      <w:r>
        <w:rPr>
          <w:rFonts w:ascii="方正书宋_GBK" w:hAnsi="方正书宋_GBK" w:eastAsia="方正书宋_GBK" w:cs="方正书宋_GBK"/>
          <w:color w:val="000000"/>
          <w:sz w:val="21"/>
        </w:rPr>
        <w:t>预算，空表列示</w:t>
      </w:r>
      <w:r>
        <w:rPr>
          <w:rFonts w:hint="eastAsia" w:ascii="方正书宋_GBK" w:hAnsi="方正书宋_GBK" w:eastAsia="方正书宋_GBK" w:cs="方正书宋_GBK"/>
          <w:color w:val="000000"/>
          <w:sz w:val="21"/>
          <w:lang w:eastAsia="zh-CN"/>
        </w:rPr>
        <w:t>。</w:t>
      </w:r>
    </w:p>
    <w:p>
      <w:pPr>
        <w:spacing w:before="10" w:after="10"/>
        <w:ind w:firstLine="640" w:firstLineChars="200"/>
        <w:outlineLvl w:val="2"/>
      </w:pPr>
      <w:bookmarkStart w:id="17" w:name="_Toc_3_3_0000000016"/>
      <w:r>
        <w:rPr>
          <w:rFonts w:ascii="黑体" w:hAnsi="黑体" w:eastAsia="黑体" w:cs="黑体"/>
          <w:color w:val="000000"/>
          <w:sz w:val="32"/>
        </w:rPr>
        <w:t>七、国有资产信息</w:t>
      </w:r>
      <w:bookmarkEnd w:id="17"/>
    </w:p>
    <w:p>
      <w:pPr>
        <w:spacing w:line="500" w:lineRule="exact"/>
        <w:ind w:firstLine="560"/>
        <w:rPr>
          <w:rFonts w:eastAsia="方正仿宋_GBK"/>
          <w:color w:val="000000"/>
          <w:sz w:val="28"/>
        </w:rPr>
      </w:pPr>
      <w:r>
        <w:rPr>
          <w:rFonts w:hint="eastAsia" w:eastAsia="方正仿宋_GBK"/>
          <w:color w:val="000000"/>
          <w:sz w:val="28"/>
          <w:lang w:eastAsia="zh-CN"/>
        </w:rPr>
        <w:t>阜平县信访局2022</w:t>
      </w:r>
      <w:r>
        <w:rPr>
          <w:rFonts w:eastAsia="方正仿宋_GBK"/>
          <w:color w:val="000000"/>
          <w:sz w:val="28"/>
        </w:rPr>
        <w:t>年末固定资产金额为</w:t>
      </w:r>
      <w:r>
        <w:rPr>
          <w:rFonts w:hint="eastAsia" w:eastAsia="方正仿宋_GBK"/>
          <w:color w:val="000000"/>
          <w:sz w:val="28"/>
          <w:lang w:eastAsia="zh-CN"/>
        </w:rPr>
        <w:t>550.96</w:t>
      </w:r>
      <w:r>
        <w:rPr>
          <w:rFonts w:eastAsia="方正仿宋_GBK"/>
          <w:color w:val="000000"/>
          <w:sz w:val="28"/>
        </w:rPr>
        <w:t>万元（详见下表）。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202阜平县信访局</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w:t>
            </w:r>
            <w:r>
              <w:rPr>
                <w:rFonts w:hint="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rPr>
                <w:lang w:eastAsia="zh-CN"/>
              </w:rPr>
            </w:pPr>
            <w:r>
              <w:rPr>
                <w:rFonts w:hint="eastAsia"/>
                <w:lang w:eastAsia="zh-CN"/>
              </w:rPr>
              <w:t>550.96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rPr>
                <w:rFonts w:hint="eastAsia"/>
                <w:lang w:eastAsia="zh-CN"/>
              </w:rPr>
              <w:t>2098.79</w:t>
            </w:r>
          </w:p>
        </w:tc>
        <w:tc>
          <w:tcPr>
            <w:tcW w:w="2835" w:type="dxa"/>
            <w:vAlign w:val="center"/>
          </w:tcPr>
          <w:p>
            <w:pPr>
              <w:pStyle w:val="15"/>
              <w:rPr>
                <w:lang w:eastAsia="zh-CN"/>
              </w:rPr>
            </w:pPr>
            <w:r>
              <w:rPr>
                <w:rFonts w:hint="eastAsia"/>
                <w:lang w:eastAsia="zh-CN"/>
              </w:rPr>
              <w:t>457.09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rPr>
                <w:rFonts w:hint="eastAsia"/>
                <w:lang w:eastAsia="zh-CN"/>
              </w:rPr>
              <w:t>143.36</w:t>
            </w:r>
          </w:p>
        </w:tc>
        <w:tc>
          <w:tcPr>
            <w:tcW w:w="2835" w:type="dxa"/>
            <w:vAlign w:val="center"/>
          </w:tcPr>
          <w:p>
            <w:pPr>
              <w:pStyle w:val="15"/>
            </w:pPr>
            <w:r>
              <w:rPr>
                <w:rFonts w:hint="eastAsia"/>
                <w:lang w:eastAsia="zh-CN"/>
              </w:rPr>
              <w:t>31.22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rPr>
                <w:lang w:eastAsia="zh-CN"/>
              </w:rPr>
            </w:pPr>
            <w:r>
              <w:rPr>
                <w:rFonts w:hint="eastAsia"/>
                <w:lang w:eastAsia="zh-CN"/>
              </w:rPr>
              <w:t>0</w:t>
            </w:r>
          </w:p>
        </w:tc>
        <w:tc>
          <w:tcPr>
            <w:tcW w:w="2835" w:type="dxa"/>
            <w:vAlign w:val="center"/>
          </w:tcPr>
          <w:p>
            <w:pPr>
              <w:pStyle w:val="15"/>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rPr>
                <w:rFonts w:hint="eastAsia"/>
                <w:lang w:eastAsia="zh-CN"/>
              </w:rPr>
              <w:t>0</w:t>
            </w:r>
          </w:p>
        </w:tc>
        <w:tc>
          <w:tcPr>
            <w:tcW w:w="2835" w:type="dxa"/>
            <w:vAlign w:val="center"/>
          </w:tcPr>
          <w:p>
            <w:pPr>
              <w:pStyle w:val="15"/>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rPr>
                <w:lang w:eastAsia="zh-CN"/>
              </w:rPr>
            </w:pPr>
            <w:r>
              <w:rPr>
                <w:rFonts w:hint="eastAsia"/>
                <w:lang w:eastAsia="zh-CN"/>
              </w:rPr>
              <w:t>93.87</w:t>
            </w:r>
          </w:p>
        </w:tc>
      </w:tr>
    </w:tbl>
    <w:p>
      <w:pPr>
        <w:ind w:firstLine="640"/>
      </w:pPr>
      <w:r>
        <w:rPr>
          <w:rFonts w:eastAsia="方正仿宋_GBK"/>
          <w:color w:val="000000"/>
          <w:sz w:val="32"/>
        </w:rPr>
        <w:t xml:space="preserve"> </w:t>
      </w:r>
    </w:p>
    <w:p>
      <w:pPr>
        <w:spacing w:before="10" w:after="10"/>
        <w:ind w:firstLine="640"/>
        <w:outlineLvl w:val="2"/>
        <w:rPr>
          <w:rFonts w:eastAsia="黑体" w:cs="黑体" w:asciiTheme="minorHAnsi" w:hAnsiTheme="minorHAnsi"/>
          <w:color w:val="000000"/>
          <w:sz w:val="32"/>
          <w:lang w:val="uk-UA"/>
        </w:rPr>
      </w:pPr>
      <w:bookmarkStart w:id="18" w:name="_Toc_3_3_0000000017"/>
      <w:r>
        <w:rPr>
          <w:rFonts w:ascii="黑体" w:hAnsi="黑体" w:eastAsia="黑体" w:cs="黑体"/>
          <w:color w:val="000000"/>
          <w:sz w:val="32"/>
        </w:rPr>
        <w:t>八、名词解释</w:t>
      </w:r>
      <w:bookmarkEnd w:id="18"/>
    </w:p>
    <w:p>
      <w:pPr>
        <w:spacing w:line="500" w:lineRule="exact"/>
        <w:ind w:firstLine="560"/>
        <w:rPr>
          <w:rFonts w:eastAsia="方正仿宋_GBK"/>
          <w:color w:val="000000"/>
          <w:sz w:val="28"/>
        </w:rPr>
      </w:pPr>
      <w:r>
        <w:rPr>
          <w:rFonts w:eastAsia="方正仿宋_GBK"/>
          <w:b/>
          <w:color w:val="000000"/>
          <w:sz w:val="28"/>
        </w:rPr>
        <w:t>1</w:t>
      </w:r>
      <w:r>
        <w:rPr>
          <w:rFonts w:hint="eastAsia" w:eastAsia="方正仿宋_GBK"/>
          <w:b/>
          <w:color w:val="000000"/>
          <w:sz w:val="28"/>
        </w:rPr>
        <w:t>、财政拨款收入</w:t>
      </w:r>
      <w:r>
        <w:rPr>
          <w:rFonts w:hint="eastAsia" w:eastAsia="方正仿宋_GBK"/>
          <w:color w:val="000000"/>
          <w:sz w:val="28"/>
        </w:rPr>
        <w:t>：指</w:t>
      </w:r>
      <w:r>
        <w:rPr>
          <w:rFonts w:hint="eastAsia" w:eastAsia="方正仿宋_GBK"/>
          <w:color w:val="000000"/>
          <w:sz w:val="28"/>
          <w:lang w:eastAsia="zh-CN"/>
        </w:rPr>
        <w:t>县</w:t>
      </w:r>
      <w:r>
        <w:rPr>
          <w:rFonts w:hint="eastAsia" w:eastAsia="方正仿宋_GBK"/>
          <w:color w:val="000000"/>
          <w:sz w:val="28"/>
        </w:rPr>
        <w:t>级财政当年拨付的资金。</w:t>
      </w:r>
    </w:p>
    <w:p>
      <w:pPr>
        <w:spacing w:line="500" w:lineRule="exact"/>
        <w:ind w:firstLine="560"/>
        <w:rPr>
          <w:rFonts w:eastAsia="方正仿宋_GBK"/>
          <w:color w:val="000000"/>
          <w:sz w:val="28"/>
        </w:rPr>
      </w:pPr>
      <w:r>
        <w:rPr>
          <w:rFonts w:eastAsia="方正仿宋_GBK"/>
          <w:b/>
          <w:color w:val="000000"/>
          <w:sz w:val="28"/>
        </w:rPr>
        <w:t>2</w:t>
      </w:r>
      <w:r>
        <w:rPr>
          <w:rFonts w:hint="eastAsia" w:eastAsia="方正仿宋_GBK"/>
          <w:b/>
          <w:color w:val="000000"/>
          <w:sz w:val="28"/>
        </w:rPr>
        <w:t>、其他收入：</w:t>
      </w:r>
      <w:r>
        <w:rPr>
          <w:rFonts w:hint="eastAsia" w:eastAsia="方正仿宋_GBK"/>
          <w:color w:val="000000"/>
          <w:sz w:val="28"/>
        </w:rPr>
        <w:t>指除上述</w:t>
      </w:r>
      <w:r>
        <w:rPr>
          <w:rFonts w:eastAsia="方正仿宋_GBK"/>
          <w:color w:val="000000"/>
          <w:sz w:val="28"/>
        </w:rPr>
        <w:t>“</w:t>
      </w:r>
      <w:r>
        <w:rPr>
          <w:rFonts w:hint="eastAsia" w:eastAsia="方正仿宋_GBK"/>
          <w:color w:val="000000"/>
          <w:sz w:val="28"/>
        </w:rPr>
        <w:t>财政拨款收入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w:t>
      </w:r>
    </w:p>
    <w:p>
      <w:pPr>
        <w:spacing w:line="500" w:lineRule="exact"/>
        <w:ind w:firstLine="560"/>
        <w:rPr>
          <w:rFonts w:eastAsia="方正仿宋_GBK"/>
          <w:color w:val="000000"/>
          <w:sz w:val="28"/>
        </w:rPr>
      </w:pPr>
      <w:r>
        <w:rPr>
          <w:rFonts w:eastAsia="方正仿宋_GBK"/>
          <w:b/>
          <w:color w:val="000000"/>
          <w:sz w:val="28"/>
        </w:rPr>
        <w:t>3</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eastAsia="方正仿宋_GBK"/>
          <w:b/>
          <w:color w:val="000000"/>
          <w:sz w:val="28"/>
        </w:rPr>
        <w:t>4</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b/>
          <w:color w:val="000000"/>
          <w:sz w:val="28"/>
        </w:rPr>
        <w:t>5</w:t>
      </w:r>
      <w:r>
        <w:rPr>
          <w:rFonts w:hint="eastAsia" w:eastAsia="方正仿宋_GBK"/>
          <w:b/>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县</w:t>
      </w:r>
      <w:r>
        <w:rPr>
          <w:rFonts w:hint="eastAsia" w:eastAsia="方正仿宋_GBK"/>
          <w:color w:val="000000"/>
          <w:sz w:val="28"/>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eastAsia="方正仿宋_GBK"/>
          <w:color w:val="000000"/>
          <w:sz w:val="28"/>
        </w:rPr>
      </w:pPr>
      <w:r>
        <w:rPr>
          <w:rFonts w:eastAsia="方正仿宋_GBK"/>
          <w:b/>
          <w:color w:val="000000"/>
          <w:sz w:val="28"/>
        </w:rPr>
        <w:t>6</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eastAsia="方正仿宋_GBK"/>
          <w:color w:val="000000"/>
          <w:sz w:val="28"/>
        </w:rPr>
      </w:pPr>
      <w:r>
        <w:rPr>
          <w:rFonts w:eastAsia="方正仿宋_GBK"/>
          <w:b/>
          <w:color w:val="000000"/>
          <w:sz w:val="28"/>
        </w:rPr>
        <w:t>7</w:t>
      </w:r>
      <w:r>
        <w:rPr>
          <w:rFonts w:hint="eastAsia" w:eastAsia="方正仿宋_GBK"/>
          <w:b/>
          <w:color w:val="000000"/>
          <w:sz w:val="28"/>
        </w:rPr>
        <w:t>、公务费：</w:t>
      </w:r>
      <w:r>
        <w:rPr>
          <w:rFonts w:hint="eastAsia" w:eastAsia="方正仿宋_GBK"/>
          <w:color w:val="000000"/>
          <w:sz w:val="28"/>
        </w:rPr>
        <w:t>包括办公费、水电费、邮电费、取暖费、交通费、一般会议费和物业管理费之和。</w:t>
      </w:r>
    </w:p>
    <w:p>
      <w:pPr>
        <w:spacing w:before="10" w:after="10"/>
        <w:ind w:firstLine="640"/>
        <w:outlineLvl w:val="2"/>
      </w:pPr>
      <w:bookmarkStart w:id="19" w:name="_Toc_3_3_0000000018"/>
      <w:r>
        <w:rPr>
          <w:rFonts w:ascii="黑体" w:hAnsi="黑体" w:eastAsia="黑体" w:cs="黑体"/>
          <w:color w:val="000000"/>
          <w:sz w:val="32"/>
        </w:rPr>
        <w:t>九、其他需要说明的事项</w:t>
      </w:r>
      <w:bookmarkEnd w:id="19"/>
    </w:p>
    <w:p>
      <w:pPr>
        <w:spacing w:line="500" w:lineRule="exact"/>
        <w:ind w:firstLine="560"/>
        <w:rPr>
          <w:rFonts w:eastAsiaTheme="minorEastAsia"/>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sectPr>
      <w:footerReference r:id="rId5" w:type="default"/>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lang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19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Zjk0ZGYwODZhYTNjMTMzOGE5MTlkMWFmODRiZTgifQ=="/>
  </w:docVars>
  <w:rsids>
    <w:rsidRoot w:val="00BB3BBC"/>
    <w:rsid w:val="000133C3"/>
    <w:rsid w:val="00077BF0"/>
    <w:rsid w:val="00093291"/>
    <w:rsid w:val="000A1D33"/>
    <w:rsid w:val="000D2356"/>
    <w:rsid w:val="00123130"/>
    <w:rsid w:val="00123CEC"/>
    <w:rsid w:val="001263C6"/>
    <w:rsid w:val="0013151E"/>
    <w:rsid w:val="0015442F"/>
    <w:rsid w:val="001A038E"/>
    <w:rsid w:val="001A1C47"/>
    <w:rsid w:val="001A24B4"/>
    <w:rsid w:val="001B1F4F"/>
    <w:rsid w:val="001B4EDA"/>
    <w:rsid w:val="001E19A6"/>
    <w:rsid w:val="001E7527"/>
    <w:rsid w:val="001E7A90"/>
    <w:rsid w:val="002027C9"/>
    <w:rsid w:val="002170A0"/>
    <w:rsid w:val="002316AD"/>
    <w:rsid w:val="00276A5A"/>
    <w:rsid w:val="00327932"/>
    <w:rsid w:val="00335893"/>
    <w:rsid w:val="003478F2"/>
    <w:rsid w:val="00356479"/>
    <w:rsid w:val="00381309"/>
    <w:rsid w:val="00382ED3"/>
    <w:rsid w:val="00390258"/>
    <w:rsid w:val="00396333"/>
    <w:rsid w:val="003D5097"/>
    <w:rsid w:val="003E3DBD"/>
    <w:rsid w:val="003F2778"/>
    <w:rsid w:val="00406415"/>
    <w:rsid w:val="00421C5A"/>
    <w:rsid w:val="00426F5B"/>
    <w:rsid w:val="004500E5"/>
    <w:rsid w:val="004D16F8"/>
    <w:rsid w:val="004E076F"/>
    <w:rsid w:val="00501E03"/>
    <w:rsid w:val="005102D8"/>
    <w:rsid w:val="00523B6C"/>
    <w:rsid w:val="005335F3"/>
    <w:rsid w:val="00534EDF"/>
    <w:rsid w:val="00573ED8"/>
    <w:rsid w:val="005F669C"/>
    <w:rsid w:val="00641927"/>
    <w:rsid w:val="00664AAA"/>
    <w:rsid w:val="006921E5"/>
    <w:rsid w:val="006D4535"/>
    <w:rsid w:val="00702004"/>
    <w:rsid w:val="00722DCB"/>
    <w:rsid w:val="0073227E"/>
    <w:rsid w:val="00744606"/>
    <w:rsid w:val="007D0569"/>
    <w:rsid w:val="00803004"/>
    <w:rsid w:val="00835F95"/>
    <w:rsid w:val="008577D7"/>
    <w:rsid w:val="008C78F7"/>
    <w:rsid w:val="00954A90"/>
    <w:rsid w:val="009B243C"/>
    <w:rsid w:val="009C061B"/>
    <w:rsid w:val="009F4A28"/>
    <w:rsid w:val="00A0025F"/>
    <w:rsid w:val="00A16289"/>
    <w:rsid w:val="00A24658"/>
    <w:rsid w:val="00A52FB5"/>
    <w:rsid w:val="00A549A4"/>
    <w:rsid w:val="00A93EEB"/>
    <w:rsid w:val="00A97111"/>
    <w:rsid w:val="00AB31AB"/>
    <w:rsid w:val="00AE1D15"/>
    <w:rsid w:val="00B02E9B"/>
    <w:rsid w:val="00B47D22"/>
    <w:rsid w:val="00BB3BBC"/>
    <w:rsid w:val="00BE2588"/>
    <w:rsid w:val="00BF3B18"/>
    <w:rsid w:val="00C40259"/>
    <w:rsid w:val="00C553F8"/>
    <w:rsid w:val="00CB01FF"/>
    <w:rsid w:val="00CC2D19"/>
    <w:rsid w:val="00CC52A0"/>
    <w:rsid w:val="00CD281F"/>
    <w:rsid w:val="00CF7B32"/>
    <w:rsid w:val="00D0667A"/>
    <w:rsid w:val="00D23EA0"/>
    <w:rsid w:val="00D40AC8"/>
    <w:rsid w:val="00D7659C"/>
    <w:rsid w:val="00D9102E"/>
    <w:rsid w:val="00DE5408"/>
    <w:rsid w:val="00E5312D"/>
    <w:rsid w:val="00E720FC"/>
    <w:rsid w:val="00E77EFD"/>
    <w:rsid w:val="00E857A0"/>
    <w:rsid w:val="00E95675"/>
    <w:rsid w:val="00EE0592"/>
    <w:rsid w:val="00EE41C5"/>
    <w:rsid w:val="00F23EFD"/>
    <w:rsid w:val="00F37677"/>
    <w:rsid w:val="00F41464"/>
    <w:rsid w:val="00F84527"/>
    <w:rsid w:val="00FB5910"/>
    <w:rsid w:val="00FF64C5"/>
    <w:rsid w:val="02661EDC"/>
    <w:rsid w:val="03095381"/>
    <w:rsid w:val="032B14BE"/>
    <w:rsid w:val="05663693"/>
    <w:rsid w:val="08304A19"/>
    <w:rsid w:val="0B192D02"/>
    <w:rsid w:val="0BC62FF8"/>
    <w:rsid w:val="0DFE11A9"/>
    <w:rsid w:val="0EB7603C"/>
    <w:rsid w:val="10275670"/>
    <w:rsid w:val="1122342A"/>
    <w:rsid w:val="115C3D72"/>
    <w:rsid w:val="12600085"/>
    <w:rsid w:val="143B4771"/>
    <w:rsid w:val="14D91CF3"/>
    <w:rsid w:val="15CB6B24"/>
    <w:rsid w:val="1637256D"/>
    <w:rsid w:val="165C118C"/>
    <w:rsid w:val="16EF58B6"/>
    <w:rsid w:val="17B45C1C"/>
    <w:rsid w:val="194C3210"/>
    <w:rsid w:val="1A5E33BF"/>
    <w:rsid w:val="1F9408E5"/>
    <w:rsid w:val="1FEA1C60"/>
    <w:rsid w:val="21DF0D52"/>
    <w:rsid w:val="22955242"/>
    <w:rsid w:val="26A17A5F"/>
    <w:rsid w:val="27567F28"/>
    <w:rsid w:val="2A5F1B03"/>
    <w:rsid w:val="2CB8093D"/>
    <w:rsid w:val="2D124BD5"/>
    <w:rsid w:val="35624D04"/>
    <w:rsid w:val="36177814"/>
    <w:rsid w:val="366A5458"/>
    <w:rsid w:val="369473F8"/>
    <w:rsid w:val="37910776"/>
    <w:rsid w:val="40226629"/>
    <w:rsid w:val="40F634F9"/>
    <w:rsid w:val="41473BDF"/>
    <w:rsid w:val="442D1B09"/>
    <w:rsid w:val="45E71F71"/>
    <w:rsid w:val="493224E9"/>
    <w:rsid w:val="49D90020"/>
    <w:rsid w:val="4B14473D"/>
    <w:rsid w:val="4C2E0B98"/>
    <w:rsid w:val="4D5A4CE3"/>
    <w:rsid w:val="4E5D709A"/>
    <w:rsid w:val="4EBC6B9A"/>
    <w:rsid w:val="538B1765"/>
    <w:rsid w:val="54F51908"/>
    <w:rsid w:val="56262642"/>
    <w:rsid w:val="56B365F2"/>
    <w:rsid w:val="578D784A"/>
    <w:rsid w:val="587B3B3C"/>
    <w:rsid w:val="59DA1F59"/>
    <w:rsid w:val="5A7122F9"/>
    <w:rsid w:val="5AE60F7D"/>
    <w:rsid w:val="5CA256B0"/>
    <w:rsid w:val="5CC71C9A"/>
    <w:rsid w:val="5D224821"/>
    <w:rsid w:val="5D340B9F"/>
    <w:rsid w:val="5DCB61D4"/>
    <w:rsid w:val="5F1E4289"/>
    <w:rsid w:val="607137B2"/>
    <w:rsid w:val="61520239"/>
    <w:rsid w:val="61BB4F0E"/>
    <w:rsid w:val="64203C47"/>
    <w:rsid w:val="64983F98"/>
    <w:rsid w:val="660C0B62"/>
    <w:rsid w:val="67DB343B"/>
    <w:rsid w:val="692925A9"/>
    <w:rsid w:val="6AD00976"/>
    <w:rsid w:val="6AFD2DCF"/>
    <w:rsid w:val="71202412"/>
    <w:rsid w:val="73A81E48"/>
    <w:rsid w:val="73D918AA"/>
    <w:rsid w:val="75CE06CD"/>
    <w:rsid w:val="77933744"/>
    <w:rsid w:val="780E4271"/>
    <w:rsid w:val="79B778D1"/>
    <w:rsid w:val="7C5A3AC1"/>
    <w:rsid w:val="7DD14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e155f901-ca45-4470-afb3-8504056cb521"/>
    <w:qFormat/>
    <w:uiPriority w:val="0"/>
    <w:rPr>
      <w:rFonts w:ascii="Times New Roman" w:hAnsi="Times New Roman" w:eastAsia="Times New Roman" w:cs="Times New Roman"/>
      <w:sz w:val="24"/>
      <w:szCs w:val="24"/>
      <w:lang w:val="en-US" w:eastAsia="uk-UA" w:bidi="ar-SA"/>
    </w:rPr>
  </w:style>
  <w:style w:type="paragraph" w:customStyle="1" w:styleId="29">
    <w:name w:val="单元格样式1_cb87e9d4-8c24-4ce5-a687-188e7fba010f"/>
    <w:basedOn w:val="1"/>
    <w:qFormat/>
    <w:uiPriority w:val="0"/>
    <w:pPr>
      <w:jc w:val="center"/>
    </w:pPr>
    <w:rPr>
      <w:rFonts w:ascii="方正书宋_GBK" w:hAnsi="方正书宋_GBK" w:eastAsia="方正书宋_GBK" w:cs="方正书宋_GBK"/>
      <w:b/>
      <w:sz w:val="21"/>
    </w:rPr>
  </w:style>
  <w:style w:type="paragraph" w:customStyle="1" w:styleId="30">
    <w:name w:val="单元格样式2_66f19a9a-4077-4c15-983c-f2f0d91d503c"/>
    <w:basedOn w:val="1"/>
    <w:qFormat/>
    <w:uiPriority w:val="0"/>
    <w:rPr>
      <w:rFonts w:ascii="方正书宋_GBK" w:hAnsi="方正书宋_GBK" w:eastAsia="方正书宋_GBK" w:cs="方正书宋_GBK"/>
      <w:sz w:val="21"/>
    </w:rPr>
  </w:style>
  <w:style w:type="paragraph" w:customStyle="1" w:styleId="31">
    <w:name w:val="单元格样式3_507fd89c-e27c-4aae-ac44-d0e7d0d215c9"/>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0"/>
    <w:link w:val="4"/>
    <w:qFormat/>
    <w:uiPriority w:val="99"/>
    <w:rPr>
      <w:rFonts w:ascii="Times New Roman" w:hAnsi="Times New Roman" w:eastAsia="Times New Roman" w:cs="Times New Roman"/>
      <w:kern w:val="0"/>
      <w:sz w:val="18"/>
      <w:szCs w:val="18"/>
      <w:lang w:eastAsia="uk-UA"/>
    </w:rPr>
  </w:style>
  <w:style w:type="character" w:customStyle="1" w:styleId="38">
    <w:name w:val="页脚 Char"/>
    <w:basedOn w:val="10"/>
    <w:link w:val="3"/>
    <w:qFormat/>
    <w:uiPriority w:val="99"/>
    <w:rPr>
      <w:rFonts w:ascii="Times New Roman" w:hAnsi="Times New Roman" w:eastAsia="Times New Roman" w:cs="Times New Roman"/>
      <w:kern w:val="0"/>
      <w:sz w:val="18"/>
      <w:szCs w:val="18"/>
      <w:lang w:eastAsia="uk-UA"/>
    </w:rPr>
  </w:style>
  <w:style w:type="paragraph" w:customStyle="1" w:styleId="39">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B8640D-470F-4A2E-B0B5-0F9C70A5AE5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1907</Words>
  <Characters>10874</Characters>
  <Lines>90</Lines>
  <Paragraphs>25</Paragraphs>
  <TotalTime>0</TotalTime>
  <ScaleCrop>false</ScaleCrop>
  <LinksUpToDate>false</LinksUpToDate>
  <CharactersWithSpaces>12756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2022-02-10T08:23:00Z</dcterms:created>
  <dc:creator>user</dc:creator>
  <cp:lastModifiedBy>微信用户</cp:lastModifiedBy>
  <cp:lastPrinted>2022-03-01T03:55:00Z</cp:lastPrinted>
  <dcterms:modified xsi:type="dcterms:W3CDTF">2024-03-12T02:01:39Z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263B90C343CA43458F7B02EC588D8F1A_13</vt:lpwstr>
  </property>
</Properties>
</file>