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A" w:rsidRDefault="00BE602A" w:rsidP="00BE602A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BE602A" w:rsidRPr="00B34AA5" w:rsidRDefault="00363A69" w:rsidP="00BE602A">
      <w:pPr>
        <w:spacing w:line="4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B34AA5">
        <w:rPr>
          <w:rFonts w:ascii="方正小标宋简体" w:eastAsia="方正小标宋简体" w:hAnsi="黑体" w:cs="方正小标宋_GBK" w:hint="eastAsia"/>
          <w:color w:val="000000"/>
          <w:sz w:val="44"/>
          <w:szCs w:val="44"/>
        </w:rPr>
        <w:t>全国优秀</w:t>
      </w:r>
      <w:proofErr w:type="gramStart"/>
      <w:r w:rsidRPr="00B34AA5">
        <w:rPr>
          <w:rFonts w:ascii="方正小标宋简体" w:eastAsia="方正小标宋简体" w:hAnsi="黑体" w:cs="方正小标宋_GBK" w:hint="eastAsia"/>
          <w:color w:val="000000"/>
          <w:sz w:val="44"/>
          <w:szCs w:val="44"/>
        </w:rPr>
        <w:t>爆破高</w:t>
      </w:r>
      <w:proofErr w:type="gramEnd"/>
      <w:r w:rsidRPr="00B34AA5">
        <w:rPr>
          <w:rFonts w:ascii="方正小标宋简体" w:eastAsia="方正小标宋简体" w:hAnsi="黑体" w:cs="方正小标宋_GBK" w:hint="eastAsia"/>
          <w:color w:val="000000"/>
          <w:sz w:val="44"/>
          <w:szCs w:val="44"/>
        </w:rPr>
        <w:t>技能人才</w:t>
      </w:r>
      <w:r w:rsidR="00BE602A" w:rsidRPr="00B34AA5">
        <w:rPr>
          <w:rFonts w:ascii="方正小标宋简体" w:eastAsia="方正小标宋简体" w:hAnsi="黑体" w:cs="方正小标宋_GBK" w:hint="eastAsia"/>
          <w:color w:val="000000"/>
          <w:sz w:val="44"/>
          <w:szCs w:val="44"/>
        </w:rPr>
        <w:t>评审与管理办法</w:t>
      </w:r>
    </w:p>
    <w:p w:rsidR="001F7188" w:rsidRDefault="001F7188" w:rsidP="00843862">
      <w:pPr>
        <w:spacing w:line="480" w:lineRule="exact"/>
        <w:jc w:val="center"/>
        <w:rPr>
          <w:rFonts w:ascii="方正小标宋简体" w:eastAsia="方正小标宋简体" w:hAnsi="宋体" w:cs="黑体"/>
          <w:color w:val="000000"/>
          <w:sz w:val="36"/>
          <w:szCs w:val="44"/>
        </w:rPr>
      </w:pPr>
    </w:p>
    <w:p w:rsidR="00F02F72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第一章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总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则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第一条</w:t>
      </w: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为深入贯彻落实科学发展观，积极推动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全国爆破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行业人才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队伍建设，努力</w:t>
      </w:r>
      <w:r w:rsidRPr="00FA665C">
        <w:rPr>
          <w:rFonts w:ascii="Times New Roman" w:eastAsia="仿宋_GB2312" w:hAnsi="Times New Roman" w:cs="仿宋_GB2312" w:hint="eastAsia"/>
          <w:sz w:val="28"/>
          <w:szCs w:val="28"/>
        </w:rPr>
        <w:t>培养和造就一大批具有高超技艺和精湛技能的</w:t>
      </w:r>
      <w:r w:rsidR="00300B2F">
        <w:rPr>
          <w:rFonts w:ascii="Times New Roman" w:eastAsia="仿宋_GB2312" w:hAnsi="Times New Roman" w:cs="仿宋_GB2312" w:hint="eastAsia"/>
          <w:sz w:val="28"/>
          <w:szCs w:val="28"/>
        </w:rPr>
        <w:t>技术型</w:t>
      </w:r>
      <w:r w:rsidRPr="00FA665C">
        <w:rPr>
          <w:rFonts w:ascii="Times New Roman" w:eastAsia="仿宋_GB2312" w:hAnsi="Times New Roman" w:cs="仿宋_GB2312" w:hint="eastAsia"/>
          <w:sz w:val="28"/>
          <w:szCs w:val="28"/>
        </w:rPr>
        <w:t>人才，全面提升我国爆破行业产业工人队伍的整体素质，进一步促进爆破行业又好又快发展，</w:t>
      </w:r>
      <w:r w:rsidR="00CE48D5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根据</w:t>
      </w:r>
      <w:r w:rsidR="00CE48D5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《</w:t>
      </w:r>
      <w:r w:rsidR="00CE48D5" w:rsidRPr="005D6358">
        <w:rPr>
          <w:rFonts w:ascii="仿宋_GB2312" w:eastAsia="仿宋_GB2312" w:hAnsi="仿宋" w:hint="eastAsia"/>
          <w:color w:val="000000"/>
          <w:sz w:val="28"/>
          <w:szCs w:val="28"/>
        </w:rPr>
        <w:t>中国工程爆破协会</w:t>
      </w:r>
      <w:r w:rsidR="00CE48D5" w:rsidRPr="005D6358">
        <w:rPr>
          <w:rFonts w:ascii="仿宋_GB2312" w:eastAsia="仿宋_GB2312" w:hAnsi="仿宋" w:hint="eastAsia"/>
          <w:color w:val="000000"/>
          <w:kern w:val="36"/>
          <w:sz w:val="28"/>
          <w:szCs w:val="28"/>
        </w:rPr>
        <w:t>关于加强人才工作的若干意见</w:t>
      </w:r>
      <w:r w:rsidR="00CE48D5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》</w:t>
      </w:r>
      <w:r w:rsidR="00CE48D5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及有关规定，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制定本办法。</w:t>
      </w:r>
    </w:p>
    <w:p w:rsidR="003C7D27" w:rsidRPr="00871987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第二条</w:t>
      </w:r>
      <w:r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Pr="003A07A5">
        <w:rPr>
          <w:rFonts w:ascii="仿宋_GB2312" w:eastAsia="仿宋_GB2312" w:hAnsi="Times New Roman" w:cs="仿宋_GB2312" w:hint="eastAsia"/>
          <w:kern w:val="0"/>
          <w:sz w:val="28"/>
          <w:szCs w:val="28"/>
        </w:rPr>
        <w:t>“</w:t>
      </w:r>
      <w:r w:rsidR="00363A69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全国优秀爆破高技能人才</w:t>
      </w:r>
      <w:r w:rsidRPr="003A07A5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660C42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是指在中国爆破行业第</w:t>
      </w:r>
      <w:r w:rsidRPr="00660C42">
        <w:rPr>
          <w:rFonts w:ascii="Times New Roman" w:eastAsia="仿宋_GB2312" w:hAnsi="Times New Roman" w:cs="仿宋_GB2312" w:hint="eastAsia"/>
          <w:sz w:val="28"/>
          <w:szCs w:val="28"/>
        </w:rPr>
        <w:t>一线，熟练掌握爆破专业知识和施工、生产技术，具备精湛的操作技能，并在工作实践中能够解决关键技术和工艺的操作性难题的人员</w:t>
      </w:r>
      <w:r w:rsidRPr="00660C42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。</w:t>
      </w:r>
      <w:r w:rsidR="003C7D27"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主要包括技术</w:t>
      </w:r>
      <w:r w:rsidR="003C7D27"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工人、技师</w:t>
      </w:r>
      <w:r w:rsidR="003C7D27"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。他们是我国人才队伍的重要组成部分，是</w:t>
      </w:r>
      <w:r w:rsidR="003C7D27"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爆破行业中</w:t>
      </w:r>
      <w:r w:rsidR="003C7D27"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的优秀代表，是技术工人队伍的核心骨干。</w:t>
      </w:r>
    </w:p>
    <w:p w:rsidR="003C7D27" w:rsidRPr="00871987" w:rsidRDefault="003C7D27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871987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第三条</w:t>
      </w:r>
      <w:r w:rsidR="006554AA" w:rsidRPr="00871987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 xml:space="preserve"> </w:t>
      </w:r>
      <w:r w:rsidRPr="00871987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P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>高技能人才的特点：</w:t>
      </w:r>
    </w:p>
    <w:p w:rsidR="003C7D27" w:rsidRPr="00871987" w:rsidRDefault="003C7D27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>（一）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高超的动手能力。动手能力是所有技能人才共有的特征</w:t>
      </w: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现代高技能人才是通过技能教育和培训获得更多的现代化理论知识，成为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“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手脑联盟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”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的技能劳动者，这种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“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手脑联盟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”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将是知识经济社会高技能人才的时代特征</w:t>
      </w: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；</w:t>
      </w:r>
    </w:p>
    <w:p w:rsidR="003C7D27" w:rsidRPr="00871987" w:rsidRDefault="003C7D27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（二）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突出的创造能力。创造性是一切人才的共同特征。</w:t>
      </w: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爆破行业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高技能人才的创造性主要表现为在</w:t>
      </w: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技术领域中的创新能力，如工艺革新、技术改良、流程改革及发明创造</w:t>
      </w:r>
      <w:r w:rsidR="000247DB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；</w:t>
      </w:r>
    </w:p>
    <w:p w:rsidR="00496E8E" w:rsidRDefault="003C7D27" w:rsidP="00496E8E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87198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（三）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极强的适应能力。高技能人才有适应工作岗位变动的能力。这种适应能力不仅表现在对同专业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(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工种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)</w:t>
      </w:r>
      <w:r w:rsidRPr="00871987">
        <w:rPr>
          <w:rFonts w:ascii="Times New Roman" w:eastAsia="仿宋_GB2312" w:hAnsi="Times New Roman" w:cs="仿宋_GB2312"/>
          <w:kern w:val="0"/>
          <w:sz w:val="28"/>
          <w:szCs w:val="28"/>
        </w:rPr>
        <w:t>工</w:t>
      </w:r>
      <w:r w:rsidR="009F649C">
        <w:rPr>
          <w:rFonts w:ascii="Times New Roman" w:eastAsia="仿宋_GB2312" w:hAnsi="Times New Roman" w:cs="仿宋_GB2312"/>
          <w:kern w:val="0"/>
          <w:sz w:val="28"/>
          <w:szCs w:val="28"/>
        </w:rPr>
        <w:t>作岗位的流动方面，也表现在对邻近专业（工种）工作岗位的流动方面</w:t>
      </w:r>
      <w:r w:rsidR="00496E8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:rsidR="00BE602A" w:rsidRPr="00496E8E" w:rsidRDefault="003C7D27" w:rsidP="00496E8E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 w:cs="仿宋_GB2312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四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 xml:space="preserve"> 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每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2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年评选</w:t>
      </w:r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1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次。</w:t>
      </w:r>
    </w:p>
    <w:p w:rsidR="00BE602A" w:rsidRPr="00FA665C" w:rsidRDefault="003C7D27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292929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五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363A69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的选拔管理坚持以下原则：</w:t>
      </w:r>
    </w:p>
    <w:p w:rsidR="00BE602A" w:rsidRPr="00FA665C" w:rsidRDefault="00BE602A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292929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（一）服务于经济建设和社会发展；</w:t>
      </w:r>
    </w:p>
    <w:p w:rsidR="00BE602A" w:rsidRPr="00FA665C" w:rsidRDefault="00BE602A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292929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lastRenderedPageBreak/>
        <w:t>（二）鼓励创新、促进年轻优秀人才脱颖而出；</w:t>
      </w:r>
    </w:p>
    <w:p w:rsidR="00BE602A" w:rsidRPr="00FA665C" w:rsidRDefault="00BE602A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292929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（三）公开、平等、竞争、择优；</w:t>
      </w:r>
    </w:p>
    <w:p w:rsidR="00BE602A" w:rsidRPr="00FA665C" w:rsidRDefault="00BE602A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color w:val="292929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（四）以用为本、动态管理。</w:t>
      </w:r>
    </w:p>
    <w:p w:rsidR="00BE602A" w:rsidRPr="00FA665C" w:rsidRDefault="003C7D27" w:rsidP="00843862">
      <w:pPr>
        <w:adjustRightInd w:val="0"/>
        <w:spacing w:line="48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六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3C6243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中国爆破行业专家委员会</w:t>
      </w:r>
      <w:r w:rsidR="003C6243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是</w:t>
      </w:r>
      <w:r w:rsidR="003C6243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中国工程爆破协会的</w:t>
      </w:r>
      <w:r w:rsidR="003C6243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内设机构，</w:t>
      </w:r>
      <w:r w:rsidR="00BE602A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负责对</w:t>
      </w:r>
      <w:r w:rsidR="00CE48D5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的选拔评审，专家委员会办公室负责</w:t>
      </w:r>
      <w:r w:rsidR="00B845B2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全国优秀</w:t>
      </w:r>
      <w:proofErr w:type="gramStart"/>
      <w:r w:rsidR="00B845B2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爆破高</w:t>
      </w:r>
      <w:proofErr w:type="gramEnd"/>
      <w:r w:rsidR="00B845B2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snapToGrid w:val="0"/>
          <w:color w:val="292929"/>
          <w:kern w:val="0"/>
          <w:sz w:val="28"/>
          <w:szCs w:val="28"/>
        </w:rPr>
        <w:t>的综合管理服务工作。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第二章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申报条件</w:t>
      </w:r>
    </w:p>
    <w:p w:rsidR="003C7D27" w:rsidRPr="00FA665C" w:rsidRDefault="00DE05F8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七</w:t>
      </w: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C56F9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56F9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56F9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3C7D2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的申报条件：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热爱社会主义祖国，遵纪守法，有良好的职业道德和社会公德</w:t>
      </w:r>
      <w:r w:rsidR="00000587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，</w:t>
      </w:r>
      <w:r w:rsidR="00C678AC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从事现场实际技能操作</w:t>
      </w:r>
      <w:r w:rsidR="00983548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5</w:t>
      </w:r>
      <w:r w:rsidR="00983548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年以上，</w:t>
      </w:r>
      <w:r w:rsidR="00000587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并满足下列条件之一：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（一）职业技能在国内处于领先水平，能够解决生产实践中的关键</w:t>
      </w:r>
      <w:r w:rsidRPr="003A103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技术和操作工艺等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问题，在技术革新改造或生产实践中做出突出贡献；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（二）在国家级或省、市级技能竞赛中取得优异成绩；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（三）开发出</w:t>
      </w:r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重要技术成果并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得到市级以上部门的认可，或在技术成果转化以及推广新技术、新工艺、新方法中有突出贡献；</w:t>
      </w:r>
    </w:p>
    <w:p w:rsidR="00BE602A" w:rsidRPr="003A1037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（四）</w:t>
      </w:r>
      <w:r w:rsidRPr="003A103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具有高超的职业技能水平，在爆破生产、施工领域总结出先进的操作方法或解决了关键性技术问题，取得明显经济效益和社会效益，在爆破行业中有较大影响；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（五）在指导青年工人和职业院校学生进行技能训练，培训</w:t>
      </w:r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技工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，传授技艺等方面做出突出贡献。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第三章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申报材料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 w:rsidR="00DE05F8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八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的申报材料：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（一）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《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全国优秀爆破高技能人才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请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表》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（以下简称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《申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请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表》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）一式</w:t>
      </w: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3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份。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（二）除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《申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请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表》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中要求填写的</w:t>
      </w:r>
      <w:r w:rsidR="00753375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内容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外，另附不少于</w:t>
      </w: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1000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字的事迹材料（统一用</w:t>
      </w: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A4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纸打印，同时上报电子文档）。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（三）事迹材料主要内容包括：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1.</w:t>
      </w:r>
      <w:r w:rsid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 xml:space="preserve"> 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主要事迹及为单位、行业和国家做出的贡献；</w:t>
      </w:r>
      <w:r w:rsidRPr="00FA665C">
        <w:rPr>
          <w:rFonts w:ascii="仿宋_GB2312" w:eastAsia="仿宋_GB2312" w:hAnsi="仿宋_GB2312" w:cs="仿宋_GB2312" w:hint="eastAsia"/>
          <w:color w:val="1A0C01"/>
          <w:kern w:val="0"/>
          <w:sz w:val="28"/>
          <w:szCs w:val="28"/>
        </w:rPr>
        <w:t>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lastRenderedPageBreak/>
        <w:t>2.</w:t>
      </w:r>
      <w:r w:rsid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 xml:space="preserve"> </w:t>
      </w:r>
      <w:r w:rsidR="00DE05F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取得的成绩在国际、国内同行业领域中的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影响和作用；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3.</w:t>
      </w:r>
      <w:r w:rsid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 xml:space="preserve"> 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在本职工作岗位上做出的贡献及所产生的经济效益（要求用数字量化反映）；</w:t>
      </w:r>
      <w:r w:rsidRPr="00FA665C">
        <w:rPr>
          <w:rFonts w:ascii="仿宋_GB2312" w:eastAsia="仿宋_GB2312" w:hAnsi="仿宋_GB2312" w:cs="仿宋_GB2312" w:hint="eastAsia"/>
          <w:color w:val="1A0C01"/>
          <w:kern w:val="0"/>
          <w:sz w:val="28"/>
          <w:szCs w:val="28"/>
        </w:rPr>
        <w:t>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4.</w:t>
      </w:r>
      <w:r w:rsidR="00871987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 xml:space="preserve"> 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获得</w:t>
      </w:r>
      <w:r w:rsidR="009A341F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过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的荣誉称号。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（四）职业资格证书以及主要技术成果、获奖</w:t>
      </w:r>
      <w:r w:rsidR="004D776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、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荣誉证书等</w:t>
      </w:r>
      <w:r w:rsidR="00DE05F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材料和证书复印件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第四章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选拔程序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 w:rsidR="004F4678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九</w:t>
      </w: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的选拔，</w:t>
      </w:r>
      <w:r w:rsidR="008B0BB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按照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个人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申请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、单位初审与推荐、专家委员会评审、公示</w:t>
      </w:r>
      <w:r w:rsidR="00447DD6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、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报</w:t>
      </w:r>
      <w:r w:rsidR="00447DD6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理事长办公会议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批准和表彰等程序进行。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个人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申请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。根据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申请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条件要求，填写</w:t>
      </w:r>
      <w:r w:rsidR="00FA504E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《</w:t>
      </w:r>
      <w:r w:rsidR="00000587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</w:t>
      </w:r>
      <w:r w:rsidR="0000058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请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表</w:t>
      </w:r>
      <w:r w:rsidR="00FA504E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》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并提交</w:t>
      </w:r>
      <w:r w:rsidR="003049D2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有关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材料。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4F4678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一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单位推荐。单位按照有关要求，向中国爆破行业专家委员会办公室推荐人选。推荐前应做好被推荐人员材料的收集、整理和审查工作，必要时应认真组织专家评议，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充分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听取有关人员的意见，做到公开、公平、公正。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4F4678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二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初审。中国爆破行业专家委员会办公室根据选拔条件，对推荐人选进行初审，并将初审材料提交专家委员会。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4F4678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三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评审。中国爆破行业专家委员会决定组织成立评审委员会，对推荐人选的申报材料进行审核评议，提出评价意见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并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经综合评审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后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通过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无记名投票方式确定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的考察人选。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523E2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四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公示。中国工程爆破协会负责对评审委员会确定的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考察人选名单在中国爆破网</w:t>
      </w:r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和中国工程爆破</w:t>
      </w:r>
      <w:proofErr w:type="gramStart"/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协会网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予以</w:t>
      </w:r>
      <w:proofErr w:type="gramEnd"/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公示（公示期为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30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天）。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523E2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五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批准。经公示无异议，专家委员会将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评审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和考察情况报请中国工程爆破协会理事长办公会议审议通过。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第五章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评审纪律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523E2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六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32175D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申请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人要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秉承</w:t>
      </w:r>
      <w:r w:rsidR="00E47EED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诚实守信、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实事求是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的原则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推荐单位要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lastRenderedPageBreak/>
        <w:t>严格把关，客观评价，严禁弄虚作假，徇私舞弊。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第十</w:t>
      </w:r>
      <w:r w:rsidR="00523E2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七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评审专家要秉公办事，认真按照条件评审，严格执行评审纪律，自觉抵制不正之风，自觉接受个人、单位和公众监督。</w:t>
      </w:r>
    </w:p>
    <w:p w:rsidR="00BE602A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 w:cs="仿宋_GB2312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十</w:t>
      </w:r>
      <w:r w:rsidR="00523E2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八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对于违反评审纪律的人员，视其情节轻重，中国工程爆破协会给予批评、警告、撤销其评审资格或取消其中国爆破行业专家委员会委员资格，直至建议其所在单位给予处分。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第六章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荣誉与待遇</w:t>
      </w:r>
    </w:p>
    <w:p w:rsidR="00BE602A" w:rsidRPr="00FA665C" w:rsidRDefault="00523E2E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十</w:t>
      </w:r>
      <w:r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九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50175D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被</w:t>
      </w:r>
      <w:r w:rsidR="00337588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评</w:t>
      </w:r>
      <w:r w:rsidR="00337588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审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为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，由中国工程爆破协会颁发《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全国优秀爆破高技能人才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》证书</w:t>
      </w:r>
      <w:r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和发放奖金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，并在中国爆破网</w:t>
      </w:r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和中国工程爆破</w:t>
      </w:r>
      <w:proofErr w:type="gramStart"/>
      <w:r w:rsidR="0063039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协会网</w:t>
      </w:r>
      <w:proofErr w:type="gramEnd"/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等媒体上予以通报表彰。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第二十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中国工程爆破协会积极为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创造良好的工作环境和条件</w:t>
      </w:r>
      <w:r w:rsidR="006C5727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：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（一）根据工作需要，所在单位要为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提供</w:t>
      </w:r>
      <w:r w:rsidR="00D47EC3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必要的技术和设备支持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，鼓励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进行产品研发和技术创新；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（二）积极支持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参加行业内活动，优先安排参与国内外学术交流、合作研究；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（三）在项目咨询论证、课题联合攻关等工作中，要注重发挥高技能人才的专业特长。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第七章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考核与管理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第二十</w:t>
      </w:r>
      <w:r w:rsidR="007D5A4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一</w:t>
      </w:r>
      <w:r w:rsidR="00BE602A" w:rsidRPr="00FA665C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建立业绩考核和管理制度。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（一）建立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档案。由单位和个人根据工作实际，共同制定管理目标和年度计划，报中国爆破行业专家委员会办公室备案；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（二）建立考核制度。按照年度管理计划和目标，每年年终由所在单位进行一次认真考核，考核结果记入</w:t>
      </w:r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CE48D5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档案；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（三）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全部纳入中国工程爆破协会高层次人才信息库管理。中国爆破行业专家委员会办公室对有关情况立卷存档，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lastRenderedPageBreak/>
        <w:t>并建立经常性的联系制度，及时为其提供必要的服务；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（四）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应积极参加中国工程爆破协会组织的有关活动，发挥各自的专业特长。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</w:t>
      </w:r>
      <w:r w:rsidR="007D5A4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十二</w:t>
      </w:r>
      <w:r w:rsidR="00BE602A"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>
        <w:rPr>
          <w:rFonts w:ascii="黑体" w:eastAsia="黑体" w:hAnsi="Times New Roman" w:cs="黑体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，凡属下列情况之一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，由中国爆破行业专家委员会核实，</w:t>
      </w:r>
      <w:r w:rsidR="00BE602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报请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中国工程爆破协会同意后，取消其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称号和有关待遇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>: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（一）不再主要从事专业技术工作；</w:t>
      </w:r>
    </w:p>
    <w:p w:rsidR="00BE602A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（二）未经组织同意，出国逾期不归；</w:t>
      </w:r>
    </w:p>
    <w:p w:rsidR="00BE602A" w:rsidRPr="00FA665C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三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）弄虚作假，谎报成果，采取不正当手段骗取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称号；</w:t>
      </w:r>
    </w:p>
    <w:p w:rsidR="002567E2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 w:cs="仿宋_GB2312"/>
          <w:color w:val="1A0C01"/>
          <w:kern w:val="0"/>
          <w:sz w:val="28"/>
          <w:szCs w:val="28"/>
        </w:rPr>
      </w:pPr>
      <w:r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（四）</w:t>
      </w:r>
      <w:r w:rsidR="00D517C3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违反</w:t>
      </w:r>
      <w:r w:rsidR="002567E2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国家法律法规，</w:t>
      </w:r>
      <w:r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被追究刑事责任</w:t>
      </w:r>
      <w:r w:rsidR="002567E2" w:rsidRPr="00EC33D4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  <w:highlight w:val="yellow"/>
        </w:rPr>
        <w:t>；</w:t>
      </w:r>
    </w:p>
    <w:p w:rsidR="00BE602A" w:rsidRPr="00FA665C" w:rsidRDefault="002567E2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（五）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因个人过失给国家、集体、他人造成重大损失或严重后果</w:t>
      </w:r>
      <w:r w:rsidR="00BE602A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；</w:t>
      </w:r>
    </w:p>
    <w:p w:rsidR="00BE602A" w:rsidRPr="00D75FA0" w:rsidRDefault="00BE602A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（</w:t>
      </w:r>
      <w:r w:rsidR="002567E2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六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）其他原因不宜继续作为</w:t>
      </w:r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全国优秀</w:t>
      </w:r>
      <w:proofErr w:type="gramStart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爆破高</w:t>
      </w:r>
      <w:proofErr w:type="gramEnd"/>
      <w:r w:rsidR="00363A69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技能人才</w:t>
      </w:r>
      <w:r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管理。</w:t>
      </w:r>
    </w:p>
    <w:p w:rsidR="00A36F2F" w:rsidRDefault="00BE602A" w:rsidP="00843862">
      <w:pPr>
        <w:spacing w:line="48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第八章</w:t>
      </w:r>
      <w:r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附</w:t>
      </w:r>
      <w:r w:rsidRPr="00FA665C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="000478E9">
        <w:rPr>
          <w:rFonts w:ascii="黑体" w:eastAsia="黑体" w:hAnsi="宋体" w:cs="黑体"/>
          <w:color w:val="000000"/>
          <w:sz w:val="28"/>
          <w:szCs w:val="28"/>
        </w:rPr>
        <w:t xml:space="preserve"> </w:t>
      </w:r>
      <w:r w:rsidRPr="00FA665C">
        <w:rPr>
          <w:rFonts w:ascii="黑体" w:eastAsia="黑体" w:hAnsi="宋体" w:cs="黑体" w:hint="eastAsia"/>
          <w:color w:val="000000"/>
          <w:sz w:val="28"/>
          <w:szCs w:val="28"/>
        </w:rPr>
        <w:t>则</w:t>
      </w:r>
    </w:p>
    <w:p w:rsidR="00BE602A" w:rsidRPr="00FA665C" w:rsidRDefault="00871987" w:rsidP="00843862">
      <w:pPr>
        <w:spacing w:line="48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第二十</w:t>
      </w:r>
      <w:r w:rsidR="007D5A4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三</w:t>
      </w:r>
      <w:r w:rsidR="00BE602A"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本办法由中国工程爆破协会负责解释。</w:t>
      </w:r>
    </w:p>
    <w:p w:rsidR="00CF0917" w:rsidRPr="006947A0" w:rsidRDefault="00871987" w:rsidP="00843862">
      <w:pPr>
        <w:spacing w:line="480" w:lineRule="exact"/>
        <w:ind w:firstLineChars="200" w:firstLine="560"/>
      </w:pPr>
      <w:r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第二十</w:t>
      </w:r>
      <w:r w:rsidR="007D5A4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四</w:t>
      </w:r>
      <w:r w:rsidR="00BE602A" w:rsidRPr="007B71CE">
        <w:rPr>
          <w:rFonts w:ascii="黑体" w:eastAsia="黑体" w:hAnsi="Times New Roman" w:cs="黑体" w:hint="eastAsia"/>
          <w:color w:val="1A0C01"/>
          <w:kern w:val="0"/>
          <w:sz w:val="28"/>
          <w:szCs w:val="28"/>
        </w:rPr>
        <w:t>条</w:t>
      </w:r>
      <w:r w:rsidR="00BE602A" w:rsidRPr="00FA665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</w:t>
      </w:r>
      <w:r w:rsidR="00BE602A" w:rsidRPr="00FA665C">
        <w:rPr>
          <w:rFonts w:ascii="Times New Roman" w:eastAsia="仿宋_GB2312" w:hAnsi="Times New Roman" w:cs="仿宋_GB2312" w:hint="eastAsia"/>
          <w:color w:val="1A0C01"/>
          <w:kern w:val="0"/>
          <w:sz w:val="28"/>
          <w:szCs w:val="28"/>
        </w:rPr>
        <w:t>本办法自中国工程爆破协会理事长办公会议审议通过起施行。</w:t>
      </w:r>
    </w:p>
    <w:sectPr w:rsidR="00CF0917" w:rsidRPr="006947A0" w:rsidSect="004E68FE">
      <w:headerReference w:type="default" r:id="rId6"/>
      <w:footerReference w:type="even" r:id="rId7"/>
      <w:footerReference w:type="default" r:id="rId8"/>
      <w:pgSz w:w="11906" w:h="16838" w:code="9"/>
      <w:pgMar w:top="1588" w:right="1588" w:bottom="158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DC" w:rsidRDefault="00C16FDC" w:rsidP="00BE602A">
      <w:r>
        <w:separator/>
      </w:r>
    </w:p>
  </w:endnote>
  <w:endnote w:type="continuationSeparator" w:id="0">
    <w:p w:rsidR="00C16FDC" w:rsidRDefault="00C16FDC" w:rsidP="00BE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姚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E" w:rsidRDefault="00CD1A8C" w:rsidP="000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3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8FE" w:rsidRDefault="00C16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E" w:rsidRPr="004E68FE" w:rsidRDefault="00CD1A8C" w:rsidP="00032246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4E68FE">
      <w:rPr>
        <w:rStyle w:val="a5"/>
        <w:rFonts w:ascii="Times New Roman" w:hAnsi="Times New Roman"/>
      </w:rPr>
      <w:fldChar w:fldCharType="begin"/>
    </w:r>
    <w:r w:rsidR="00B403BE" w:rsidRPr="004E68FE">
      <w:rPr>
        <w:rStyle w:val="a5"/>
        <w:rFonts w:ascii="Times New Roman" w:hAnsi="Times New Roman"/>
      </w:rPr>
      <w:instrText xml:space="preserve">PAGE  </w:instrText>
    </w:r>
    <w:r w:rsidRPr="004E68FE">
      <w:rPr>
        <w:rStyle w:val="a5"/>
        <w:rFonts w:ascii="Times New Roman" w:hAnsi="Times New Roman"/>
      </w:rPr>
      <w:fldChar w:fldCharType="separate"/>
    </w:r>
    <w:r w:rsidR="00EC33D4">
      <w:rPr>
        <w:rStyle w:val="a5"/>
        <w:rFonts w:ascii="Times New Roman" w:hAnsi="Times New Roman"/>
        <w:noProof/>
      </w:rPr>
      <w:t>5</w:t>
    </w:r>
    <w:r w:rsidRPr="004E68FE">
      <w:rPr>
        <w:rStyle w:val="a5"/>
        <w:rFonts w:ascii="Times New Roman" w:hAnsi="Times New Roman"/>
      </w:rPr>
      <w:fldChar w:fldCharType="end"/>
    </w:r>
  </w:p>
  <w:p w:rsidR="004E68FE" w:rsidRPr="004E68FE" w:rsidRDefault="00C16FDC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DC" w:rsidRDefault="00C16FDC" w:rsidP="00BE602A">
      <w:r>
        <w:separator/>
      </w:r>
    </w:p>
  </w:footnote>
  <w:footnote w:type="continuationSeparator" w:id="0">
    <w:p w:rsidR="00C16FDC" w:rsidRDefault="00C16FDC" w:rsidP="00BE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E" w:rsidRDefault="00C16FDC" w:rsidP="00BC46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02A"/>
    <w:rsid w:val="00000587"/>
    <w:rsid w:val="00024304"/>
    <w:rsid w:val="000247DB"/>
    <w:rsid w:val="000277A9"/>
    <w:rsid w:val="000417BC"/>
    <w:rsid w:val="000478E9"/>
    <w:rsid w:val="00060B83"/>
    <w:rsid w:val="000817E3"/>
    <w:rsid w:val="000C2D4A"/>
    <w:rsid w:val="000D28BB"/>
    <w:rsid w:val="00146578"/>
    <w:rsid w:val="001B5443"/>
    <w:rsid w:val="001E2D79"/>
    <w:rsid w:val="001F028C"/>
    <w:rsid w:val="001F7188"/>
    <w:rsid w:val="00222AD0"/>
    <w:rsid w:val="002567E2"/>
    <w:rsid w:val="002740CA"/>
    <w:rsid w:val="00300B2F"/>
    <w:rsid w:val="003049D2"/>
    <w:rsid w:val="003061DC"/>
    <w:rsid w:val="0032175D"/>
    <w:rsid w:val="00337588"/>
    <w:rsid w:val="00344D22"/>
    <w:rsid w:val="00363A69"/>
    <w:rsid w:val="003669A5"/>
    <w:rsid w:val="003C6243"/>
    <w:rsid w:val="003C7D27"/>
    <w:rsid w:val="003C7FC1"/>
    <w:rsid w:val="003D0637"/>
    <w:rsid w:val="00410B5F"/>
    <w:rsid w:val="00420CEE"/>
    <w:rsid w:val="00447DD6"/>
    <w:rsid w:val="004508B4"/>
    <w:rsid w:val="00452DEE"/>
    <w:rsid w:val="00485EF2"/>
    <w:rsid w:val="00496E8E"/>
    <w:rsid w:val="004D776A"/>
    <w:rsid w:val="004F4678"/>
    <w:rsid w:val="004F603B"/>
    <w:rsid w:val="0050175D"/>
    <w:rsid w:val="0051601F"/>
    <w:rsid w:val="00523E2E"/>
    <w:rsid w:val="005301C8"/>
    <w:rsid w:val="00530276"/>
    <w:rsid w:val="005738F1"/>
    <w:rsid w:val="005D678F"/>
    <w:rsid w:val="005D6FC0"/>
    <w:rsid w:val="005E2DD3"/>
    <w:rsid w:val="005E5F5D"/>
    <w:rsid w:val="005E6CEF"/>
    <w:rsid w:val="00630395"/>
    <w:rsid w:val="006365F2"/>
    <w:rsid w:val="006554AA"/>
    <w:rsid w:val="00671A0C"/>
    <w:rsid w:val="006864DB"/>
    <w:rsid w:val="006947A0"/>
    <w:rsid w:val="006C5727"/>
    <w:rsid w:val="007019DA"/>
    <w:rsid w:val="00706774"/>
    <w:rsid w:val="00721E87"/>
    <w:rsid w:val="00741E17"/>
    <w:rsid w:val="00753375"/>
    <w:rsid w:val="00775A06"/>
    <w:rsid w:val="007A21CF"/>
    <w:rsid w:val="007D17CA"/>
    <w:rsid w:val="007D5A4E"/>
    <w:rsid w:val="007E294E"/>
    <w:rsid w:val="007F6E99"/>
    <w:rsid w:val="00843862"/>
    <w:rsid w:val="008615E1"/>
    <w:rsid w:val="00871987"/>
    <w:rsid w:val="00874D12"/>
    <w:rsid w:val="00884B4A"/>
    <w:rsid w:val="0089130F"/>
    <w:rsid w:val="00897009"/>
    <w:rsid w:val="008B0BB5"/>
    <w:rsid w:val="008B0DCF"/>
    <w:rsid w:val="008F20AC"/>
    <w:rsid w:val="00915F61"/>
    <w:rsid w:val="00942361"/>
    <w:rsid w:val="00955091"/>
    <w:rsid w:val="009559D5"/>
    <w:rsid w:val="00983548"/>
    <w:rsid w:val="00984B7B"/>
    <w:rsid w:val="0099238A"/>
    <w:rsid w:val="00994D1D"/>
    <w:rsid w:val="009A341F"/>
    <w:rsid w:val="009D42F4"/>
    <w:rsid w:val="009D4FAD"/>
    <w:rsid w:val="009E10F6"/>
    <w:rsid w:val="009E1E22"/>
    <w:rsid w:val="009F649C"/>
    <w:rsid w:val="00A10AE6"/>
    <w:rsid w:val="00A1352B"/>
    <w:rsid w:val="00A1434C"/>
    <w:rsid w:val="00A17AD9"/>
    <w:rsid w:val="00A36F2F"/>
    <w:rsid w:val="00A42E6E"/>
    <w:rsid w:val="00A47C8C"/>
    <w:rsid w:val="00A86CAD"/>
    <w:rsid w:val="00A977AC"/>
    <w:rsid w:val="00AC26CF"/>
    <w:rsid w:val="00B152A4"/>
    <w:rsid w:val="00B34AA5"/>
    <w:rsid w:val="00B403BE"/>
    <w:rsid w:val="00B6227A"/>
    <w:rsid w:val="00B845B2"/>
    <w:rsid w:val="00BE5C15"/>
    <w:rsid w:val="00BE602A"/>
    <w:rsid w:val="00C1034E"/>
    <w:rsid w:val="00C16FDC"/>
    <w:rsid w:val="00C56F9A"/>
    <w:rsid w:val="00C678AC"/>
    <w:rsid w:val="00C80C3A"/>
    <w:rsid w:val="00C84ED2"/>
    <w:rsid w:val="00C87E5B"/>
    <w:rsid w:val="00C95249"/>
    <w:rsid w:val="00CD1A8C"/>
    <w:rsid w:val="00CE40B7"/>
    <w:rsid w:val="00CE48D5"/>
    <w:rsid w:val="00CF0917"/>
    <w:rsid w:val="00D324C7"/>
    <w:rsid w:val="00D47EC3"/>
    <w:rsid w:val="00D517C3"/>
    <w:rsid w:val="00D6093E"/>
    <w:rsid w:val="00DE05F8"/>
    <w:rsid w:val="00DE6852"/>
    <w:rsid w:val="00DF5133"/>
    <w:rsid w:val="00E45BDC"/>
    <w:rsid w:val="00E47EED"/>
    <w:rsid w:val="00E509E3"/>
    <w:rsid w:val="00E7621C"/>
    <w:rsid w:val="00EA57A1"/>
    <w:rsid w:val="00EC16F8"/>
    <w:rsid w:val="00EC33D4"/>
    <w:rsid w:val="00EE0D04"/>
    <w:rsid w:val="00EE5B01"/>
    <w:rsid w:val="00F02F72"/>
    <w:rsid w:val="00F136E8"/>
    <w:rsid w:val="00F27966"/>
    <w:rsid w:val="00F353B7"/>
    <w:rsid w:val="00F67CFF"/>
    <w:rsid w:val="00F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E602A"/>
    <w:rPr>
      <w:sz w:val="18"/>
      <w:szCs w:val="18"/>
    </w:rPr>
  </w:style>
  <w:style w:type="paragraph" w:styleId="a4">
    <w:name w:val="footer"/>
    <w:basedOn w:val="a"/>
    <w:link w:val="Char0"/>
    <w:unhideWhenUsed/>
    <w:rsid w:val="00BE6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E602A"/>
    <w:rPr>
      <w:sz w:val="18"/>
      <w:szCs w:val="18"/>
    </w:rPr>
  </w:style>
  <w:style w:type="character" w:styleId="a5">
    <w:name w:val="page number"/>
    <w:basedOn w:val="a0"/>
    <w:rsid w:val="00BE602A"/>
  </w:style>
  <w:style w:type="character" w:styleId="a6">
    <w:name w:val="annotation reference"/>
    <w:basedOn w:val="a0"/>
    <w:uiPriority w:val="99"/>
    <w:semiHidden/>
    <w:unhideWhenUsed/>
    <w:rsid w:val="00F2796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96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966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96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96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96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9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446</Words>
  <Characters>2546</Characters>
  <Application>Microsoft Office Word</Application>
  <DocSecurity>0</DocSecurity>
  <Lines>21</Lines>
  <Paragraphs>5</Paragraphs>
  <ScaleCrop>false</ScaleCrop>
  <Company>CSEB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HJH</cp:lastModifiedBy>
  <cp:revision>96</cp:revision>
  <dcterms:created xsi:type="dcterms:W3CDTF">2013-12-04T00:17:00Z</dcterms:created>
  <dcterms:modified xsi:type="dcterms:W3CDTF">2014-07-30T01:23:00Z</dcterms:modified>
</cp:coreProperties>
</file>