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lang w:val="en-US" w:eastAsia="zh-CN"/>
        </w:rPr>
        <w:t>竞争性谈判</w:t>
      </w:r>
      <w:r>
        <w:rPr>
          <w:rFonts w:hint="eastAsia" w:ascii="宋体" w:hAnsi="宋体" w:cs="宋体"/>
          <w:b/>
          <w:bCs/>
          <w:sz w:val="96"/>
          <w:szCs w:val="96"/>
        </w:rPr>
        <w:t>文件</w:t>
      </w:r>
    </w:p>
    <w:p>
      <w:pPr>
        <w:spacing w:beforeLines="100"/>
        <w:rPr>
          <w:rFonts w:ascii="宋体" w:hAnsi="宋体" w:cs="宋体"/>
          <w:b/>
          <w:bCs/>
        </w:rPr>
      </w:pPr>
    </w:p>
    <w:p>
      <w:pPr>
        <w:jc w:val="center"/>
        <w:rPr>
          <w:rFonts w:ascii="宋体" w:hAnsi="宋体" w:cs="宋体"/>
        </w:rPr>
      </w:pPr>
    </w:p>
    <w:p>
      <w:pPr>
        <w:ind w:firstLine="1807" w:firstLineChars="600"/>
        <w:rPr>
          <w:rFonts w:ascii="宋体" w:hAnsi="宋体" w:cs="宋体"/>
          <w:b/>
          <w:bCs/>
          <w:sz w:val="30"/>
          <w:szCs w:val="30"/>
        </w:rPr>
      </w:pPr>
      <w:r>
        <w:rPr>
          <w:rFonts w:hint="eastAsia" w:ascii="宋体" w:hAnsi="宋体" w:cs="宋体"/>
          <w:b/>
          <w:bCs/>
          <w:sz w:val="30"/>
          <w:szCs w:val="30"/>
        </w:rPr>
        <w:t>邀请人：湖南新五丰股份有限公司</w:t>
      </w:r>
    </w:p>
    <w:p>
      <w:pPr>
        <w:ind w:left="3897" w:leftChars="852" w:hanging="2108" w:hangingChars="700"/>
        <w:rPr>
          <w:rFonts w:hint="default" w:ascii="宋体" w:hAnsi="宋体" w:eastAsia="宋体" w:cs="宋体"/>
          <w:b/>
          <w:bCs/>
          <w:sz w:val="30"/>
          <w:szCs w:val="30"/>
          <w:lang w:val="en-US" w:eastAsia="zh-CN"/>
        </w:rPr>
      </w:pPr>
      <w:r>
        <w:rPr>
          <w:rFonts w:hint="eastAsia" w:ascii="宋体" w:hAnsi="宋体" w:cs="宋体"/>
          <w:b/>
          <w:bCs/>
          <w:sz w:val="30"/>
          <w:szCs w:val="30"/>
        </w:rPr>
        <w:t>项  目 名 称：湖南新五丰股份有限公司</w:t>
      </w:r>
      <w:r>
        <w:rPr>
          <w:rFonts w:hint="eastAsia" w:ascii="宋体" w:hAnsi="宋体" w:cs="宋体"/>
          <w:b/>
          <w:bCs/>
          <w:sz w:val="30"/>
          <w:szCs w:val="30"/>
          <w:lang w:val="en-US" w:eastAsia="zh-CN"/>
        </w:rPr>
        <w:t>数字式电子汽车衡采购项目</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6"/>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3</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rFonts w:hint="default" w:eastAsia="宋体"/>
          <w:sz w:val="28"/>
          <w:szCs w:val="28"/>
          <w:lang w:val="en-US" w:eastAsia="zh-CN"/>
        </w:rPr>
      </w:pPr>
      <w:bookmarkStart w:id="0" w:name="_Toc16238"/>
      <w:bookmarkStart w:id="1" w:name="_Toc32556"/>
      <w:r>
        <w:rPr>
          <w:rFonts w:hint="eastAsia"/>
          <w:sz w:val="28"/>
          <w:szCs w:val="28"/>
        </w:rPr>
        <w:t xml:space="preserve">第一章  </w:t>
      </w:r>
      <w:r>
        <w:rPr>
          <w:rFonts w:hint="eastAsia"/>
          <w:sz w:val="28"/>
          <w:szCs w:val="28"/>
          <w:lang w:val="en-US" w:eastAsia="zh-CN"/>
        </w:rPr>
        <w:t>谈判公告</w:t>
      </w:r>
    </w:p>
    <w:p>
      <w:pPr>
        <w:rPr>
          <w:sz w:val="28"/>
          <w:szCs w:val="28"/>
        </w:rPr>
      </w:pPr>
      <w:r>
        <w:rPr>
          <w:rFonts w:hint="eastAsia"/>
          <w:sz w:val="28"/>
          <w:szCs w:val="28"/>
        </w:rPr>
        <w:t>第二章  谈判办法</w:t>
      </w:r>
    </w:p>
    <w:p>
      <w:pPr>
        <w:rPr>
          <w:sz w:val="28"/>
          <w:szCs w:val="28"/>
        </w:rPr>
      </w:pPr>
      <w:r>
        <w:rPr>
          <w:rFonts w:hint="eastAsia"/>
          <w:sz w:val="28"/>
          <w:szCs w:val="28"/>
        </w:rPr>
        <w:t>第三章  采购需求及说明</w:t>
      </w:r>
    </w:p>
    <w:p>
      <w:pPr>
        <w:rPr>
          <w:sz w:val="28"/>
          <w:szCs w:val="28"/>
        </w:rPr>
      </w:pPr>
      <w:r>
        <w:rPr>
          <w:rFonts w:hint="eastAsia"/>
          <w:sz w:val="28"/>
          <w:szCs w:val="28"/>
        </w:rPr>
        <w:t>第四章  合同条款及格式</w:t>
      </w:r>
    </w:p>
    <w:p>
      <w:pPr>
        <w:rPr>
          <w:sz w:val="28"/>
          <w:szCs w:val="28"/>
        </w:rPr>
      </w:pPr>
      <w:r>
        <w:rPr>
          <w:rFonts w:hint="eastAsia"/>
          <w:sz w:val="28"/>
          <w:szCs w:val="28"/>
        </w:rPr>
        <w:t>第五章  谈判响应文件编制</w:t>
      </w:r>
    </w:p>
    <w:p>
      <w:pPr>
        <w:rPr>
          <w:sz w:val="28"/>
          <w:szCs w:val="28"/>
        </w:rPr>
      </w:pPr>
      <w:r>
        <w:rPr>
          <w:rFonts w:hint="eastAsia"/>
          <w:sz w:val="28"/>
          <w:szCs w:val="28"/>
        </w:rPr>
        <w:t>第六章  谈判响应文件组成</w:t>
      </w:r>
    </w:p>
    <w:p>
      <w:pPr>
        <w:pStyle w:val="40"/>
        <w:spacing w:after="312"/>
        <w:ind w:left="0" w:firstLine="0" w:firstLineChars="0"/>
        <w:rPr>
          <w:rFonts w:ascii="Times New Roman" w:hAnsi="Times New Roman" w:cs="Times New Roman"/>
          <w:kern w:val="2"/>
          <w:sz w:val="28"/>
          <w:szCs w:val="28"/>
          <w:lang w:val="en-US"/>
        </w:rPr>
      </w:pPr>
      <w:r>
        <w:rPr>
          <w:rFonts w:hint="eastAsia" w:ascii="Times New Roman" w:hAnsi="Times New Roman" w:cs="Times New Roman"/>
          <w:kern w:val="2"/>
          <w:sz w:val="28"/>
          <w:szCs w:val="28"/>
          <w:lang w:val="en-US"/>
        </w:rPr>
        <w:t xml:space="preserve">  </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7"/>
        <w:spacing w:line="560" w:lineRule="exact"/>
        <w:jc w:val="center"/>
        <w:rPr>
          <w:rFonts w:hint="eastAsia" w:ascii="宋体" w:hAnsi="宋体" w:eastAsia="宋体" w:cs="宋体"/>
          <w:sz w:val="32"/>
          <w:szCs w:val="32"/>
          <w:lang w:eastAsia="zh-CN"/>
        </w:rPr>
      </w:pPr>
      <w:bookmarkStart w:id="2" w:name="_Toc7848"/>
      <w:r>
        <w:rPr>
          <w:rFonts w:hint="eastAsia" w:ascii="宋体" w:hAnsi="宋体" w:cs="宋体"/>
          <w:sz w:val="32"/>
          <w:szCs w:val="32"/>
        </w:rPr>
        <w:t>第一章  谈判</w:t>
      </w:r>
      <w:bookmarkEnd w:id="0"/>
      <w:bookmarkEnd w:id="1"/>
      <w:bookmarkEnd w:id="2"/>
      <w:r>
        <w:rPr>
          <w:rFonts w:hint="eastAsia" w:ascii="宋体" w:hAnsi="宋体" w:cs="宋体"/>
          <w:sz w:val="32"/>
          <w:szCs w:val="32"/>
          <w:lang w:val="en-US" w:eastAsia="zh-CN"/>
        </w:rPr>
        <w:t>公告</w:t>
      </w:r>
    </w:p>
    <w:p>
      <w:pPr>
        <w:spacing w:line="360" w:lineRule="auto"/>
        <w:ind w:firstLine="480" w:firstLineChars="200"/>
        <w:rPr>
          <w:rFonts w:ascii="宋体" w:hAnsi="宋体" w:cs="宋体"/>
          <w:sz w:val="24"/>
          <w:szCs w:val="24"/>
        </w:rPr>
      </w:pPr>
      <w:r>
        <w:rPr>
          <w:rFonts w:hint="eastAsia" w:ascii="宋体" w:hAnsi="宋体" w:cs="宋体"/>
          <w:sz w:val="24"/>
          <w:szCs w:val="24"/>
          <w:u w:val="single"/>
        </w:rPr>
        <w:t>湖南新五丰股份有限公司</w:t>
      </w:r>
      <w:r>
        <w:rPr>
          <w:rFonts w:hint="eastAsia" w:ascii="宋体" w:hAnsi="宋体" w:cs="宋体"/>
          <w:sz w:val="24"/>
          <w:szCs w:val="24"/>
          <w:u w:val="single"/>
          <w:lang w:val="en-US" w:eastAsia="zh-CN"/>
        </w:rPr>
        <w:t>数字式电子汽车衡</w:t>
      </w:r>
      <w:r>
        <w:rPr>
          <w:rFonts w:hint="eastAsia" w:ascii="宋体" w:hAnsi="宋体" w:cs="宋体"/>
          <w:sz w:val="24"/>
          <w:szCs w:val="24"/>
        </w:rPr>
        <w:t>已获湖南新五丰股份有限公司批准，现对该项目实施由本公司组织谈判。</w:t>
      </w:r>
    </w:p>
    <w:p>
      <w:pPr>
        <w:numPr>
          <w:ilvl w:val="0"/>
          <w:numId w:val="2"/>
        </w:numPr>
        <w:spacing w:line="360" w:lineRule="auto"/>
        <w:rPr>
          <w:rFonts w:hint="eastAsia" w:ascii="宋体" w:hAnsi="宋体" w:cs="宋体"/>
          <w:sz w:val="24"/>
          <w:szCs w:val="24"/>
          <w:lang w:val="en-US" w:eastAsia="zh-CN"/>
        </w:rPr>
      </w:pPr>
      <w:r>
        <w:rPr>
          <w:rFonts w:hint="eastAsia" w:ascii="宋体" w:hAnsi="宋体" w:cs="宋体"/>
          <w:b/>
          <w:sz w:val="24"/>
          <w:szCs w:val="24"/>
        </w:rPr>
        <w:t>谈判项目名称：</w:t>
      </w:r>
      <w:r>
        <w:rPr>
          <w:rFonts w:hint="eastAsia" w:ascii="宋体" w:hAnsi="宋体" w:cs="宋体"/>
          <w:sz w:val="24"/>
          <w:szCs w:val="24"/>
        </w:rPr>
        <w:t>湖南新五丰股份有限公司</w:t>
      </w:r>
      <w:r>
        <w:rPr>
          <w:rFonts w:hint="eastAsia" w:ascii="宋体" w:hAnsi="宋体" w:cs="宋体"/>
          <w:sz w:val="24"/>
          <w:szCs w:val="24"/>
          <w:lang w:val="en-US" w:eastAsia="zh-CN"/>
        </w:rPr>
        <w:t>地磅采购项目</w:t>
      </w:r>
    </w:p>
    <w:p>
      <w:pPr>
        <w:numPr>
          <w:ilvl w:val="0"/>
          <w:numId w:val="0"/>
        </w:numPr>
        <w:spacing w:line="360" w:lineRule="auto"/>
        <w:rPr>
          <w:rFonts w:ascii="宋体" w:hAnsi="宋体" w:cs="宋体"/>
          <w:bCs/>
          <w:sz w:val="24"/>
          <w:szCs w:val="24"/>
        </w:rPr>
      </w:pPr>
      <w:r>
        <w:rPr>
          <w:rFonts w:hint="eastAsia" w:ascii="宋体" w:hAnsi="宋体" w:cs="宋体"/>
          <w:b/>
          <w:sz w:val="24"/>
          <w:szCs w:val="24"/>
        </w:rPr>
        <w:t>2、项目预算：</w:t>
      </w:r>
    </w:p>
    <w:p>
      <w:pPr>
        <w:spacing w:line="360" w:lineRule="auto"/>
        <w:ind w:firstLine="361" w:firstLineChars="150"/>
        <w:rPr>
          <w:rFonts w:ascii="宋体" w:hAnsi="宋体" w:cs="宋体"/>
          <w:sz w:val="24"/>
          <w:szCs w:val="24"/>
        </w:rPr>
      </w:pPr>
      <w:r>
        <w:rPr>
          <w:rFonts w:hint="eastAsia" w:ascii="宋体" w:hAnsi="宋体" w:cs="宋体"/>
          <w:b/>
          <w:sz w:val="24"/>
          <w:szCs w:val="24"/>
        </w:rPr>
        <w:t>工期要求：</w:t>
      </w:r>
      <w:r>
        <w:rPr>
          <w:rFonts w:hint="eastAsia" w:ascii="宋体" w:hAnsi="宋体" w:eastAsia="宋体" w:cs="宋体"/>
          <w:b/>
          <w:bCs w:val="0"/>
          <w:sz w:val="24"/>
          <w:szCs w:val="24"/>
          <w:u w:val="single"/>
        </w:rPr>
        <w:t>需方基础完工后，</w:t>
      </w:r>
      <w:r>
        <w:rPr>
          <w:rFonts w:hint="eastAsia" w:ascii="宋体" w:hAnsi="宋体" w:eastAsia="宋体" w:cs="宋体"/>
          <w:b/>
          <w:bCs w:val="0"/>
          <w:sz w:val="24"/>
          <w:szCs w:val="24"/>
          <w:u w:val="single"/>
          <w:lang w:val="en-US" w:eastAsia="zh-CN"/>
        </w:rPr>
        <w:t>十个自然日</w:t>
      </w:r>
      <w:r>
        <w:rPr>
          <w:rFonts w:hint="eastAsia" w:ascii="宋体" w:hAnsi="宋体" w:eastAsia="宋体" w:cs="宋体"/>
          <w:b/>
          <w:bCs w:val="0"/>
          <w:sz w:val="24"/>
          <w:szCs w:val="24"/>
          <w:u w:val="single"/>
        </w:rPr>
        <w:t>内送货到现场安装</w:t>
      </w:r>
      <w:r>
        <w:rPr>
          <w:rFonts w:hint="eastAsia" w:ascii="宋体" w:hAnsi="宋体" w:cs="宋体"/>
          <w:sz w:val="24"/>
          <w:szCs w:val="24"/>
        </w:rPr>
        <w:t>；</w:t>
      </w:r>
    </w:p>
    <w:p>
      <w:pPr>
        <w:spacing w:line="360" w:lineRule="auto"/>
        <w:ind w:firstLine="361" w:firstLineChars="150"/>
        <w:rPr>
          <w:rFonts w:hint="default" w:ascii="宋体" w:hAnsi="宋体" w:eastAsia="宋体" w:cs="宋体"/>
          <w:sz w:val="24"/>
          <w:szCs w:val="24"/>
          <w:lang w:val="en-US" w:eastAsia="zh-CN"/>
        </w:rPr>
      </w:pPr>
      <w:r>
        <w:rPr>
          <w:rFonts w:hint="eastAsia" w:ascii="宋体" w:hAnsi="宋体" w:cs="宋体"/>
          <w:b/>
          <w:sz w:val="24"/>
          <w:szCs w:val="24"/>
        </w:rPr>
        <w:t>项目地点：</w:t>
      </w:r>
      <w:r>
        <w:rPr>
          <w:rFonts w:hint="eastAsia" w:ascii="宋体" w:hAnsi="宋体" w:cs="宋体"/>
          <w:b/>
          <w:sz w:val="24"/>
          <w:szCs w:val="24"/>
          <w:lang w:val="en-US" w:eastAsia="zh-CN"/>
        </w:rPr>
        <w:t>省内各地</w:t>
      </w:r>
    </w:p>
    <w:p>
      <w:pPr>
        <w:spacing w:line="360" w:lineRule="auto"/>
        <w:rPr>
          <w:rFonts w:ascii="宋体" w:hAnsi="宋体" w:cs="宋体"/>
          <w:b/>
          <w:sz w:val="24"/>
          <w:szCs w:val="24"/>
        </w:rPr>
      </w:pPr>
      <w:r>
        <w:rPr>
          <w:rFonts w:hint="eastAsia" w:ascii="宋体" w:hAnsi="宋体" w:cs="宋体"/>
          <w:b/>
          <w:sz w:val="24"/>
          <w:szCs w:val="24"/>
        </w:rPr>
        <w:t>3、供应商资格要求：</w:t>
      </w:r>
    </w:p>
    <w:p>
      <w:pPr>
        <w:spacing w:line="360" w:lineRule="auto"/>
        <w:rPr>
          <w:rFonts w:ascii="宋体" w:hAnsi="宋体" w:cs="宋体"/>
          <w:sz w:val="24"/>
          <w:szCs w:val="24"/>
        </w:rPr>
      </w:pPr>
      <w:r>
        <w:rPr>
          <w:rFonts w:hint="eastAsia" w:ascii="宋体" w:hAnsi="宋体" w:cs="宋体"/>
          <w:sz w:val="24"/>
          <w:szCs w:val="24"/>
        </w:rPr>
        <w:t>供应商需提供以下资格证明文件：</w:t>
      </w:r>
    </w:p>
    <w:p>
      <w:pPr>
        <w:spacing w:line="360" w:lineRule="auto"/>
        <w:rPr>
          <w:rFonts w:ascii="宋体" w:hAnsi="宋体" w:cs="宋体"/>
          <w:sz w:val="24"/>
          <w:szCs w:val="24"/>
        </w:rPr>
      </w:pPr>
      <w:r>
        <w:rPr>
          <w:rFonts w:hint="eastAsia" w:ascii="宋体" w:hAnsi="宋体" w:cs="宋体"/>
          <w:sz w:val="24"/>
          <w:szCs w:val="24"/>
        </w:rPr>
        <w:t>（1）法人提交企业法人营业执照副本复印件；</w:t>
      </w:r>
    </w:p>
    <w:p>
      <w:pPr>
        <w:spacing w:line="360" w:lineRule="auto"/>
        <w:rPr>
          <w:rFonts w:ascii="宋体" w:hAnsi="宋体" w:cs="宋体"/>
          <w:sz w:val="24"/>
          <w:szCs w:val="24"/>
        </w:rPr>
      </w:pPr>
      <w:r>
        <w:rPr>
          <w:rFonts w:hint="eastAsia" w:ascii="宋体" w:hAnsi="宋体" w:cs="宋体"/>
          <w:sz w:val="24"/>
          <w:szCs w:val="24"/>
        </w:rPr>
        <w:t>（2）法人提交法定代表人身份证明原件或者法定代表人授权委托书原件。</w:t>
      </w:r>
    </w:p>
    <w:p>
      <w:pPr>
        <w:spacing w:line="360" w:lineRule="auto"/>
        <w:rPr>
          <w:rFonts w:hint="eastAsia" w:ascii="宋体" w:hAnsi="宋体" w:cs="宋体"/>
          <w:b/>
          <w:bCs/>
          <w:sz w:val="24"/>
          <w:szCs w:val="24"/>
          <w:lang w:val="en-US" w:eastAsia="zh-CN"/>
        </w:rPr>
      </w:pPr>
      <w:r>
        <w:rPr>
          <w:rFonts w:hint="eastAsia" w:ascii="宋体" w:hAnsi="宋体" w:cs="宋体"/>
          <w:sz w:val="24"/>
          <w:szCs w:val="24"/>
        </w:rPr>
        <w:t>（3）供应商特定资格条件：</w:t>
      </w:r>
      <w:r>
        <w:rPr>
          <w:rFonts w:hint="eastAsia" w:ascii="宋体" w:hAnsi="宋体" w:cs="宋体"/>
          <w:b/>
          <w:bCs/>
          <w:sz w:val="24"/>
          <w:szCs w:val="24"/>
          <w:lang w:val="en-US" w:eastAsia="zh-CN"/>
        </w:rPr>
        <w:t>具有计量器具型式批准证书</w:t>
      </w:r>
    </w:p>
    <w:p>
      <w:pPr>
        <w:pStyle w:val="40"/>
        <w:ind w:left="0" w:leftChars="0" w:firstLine="0" w:firstLineChars="0"/>
        <w:rPr>
          <w:rFonts w:hint="eastAsia" w:cs="宋体"/>
          <w:b/>
          <w:bCs/>
          <w:sz w:val="24"/>
          <w:szCs w:val="24"/>
          <w:lang w:val="en-US" w:eastAsia="zh-CN"/>
        </w:rPr>
      </w:pPr>
      <w:r>
        <w:rPr>
          <w:rFonts w:hint="eastAsia" w:cs="宋体"/>
          <w:b/>
          <w:bCs/>
          <w:sz w:val="24"/>
          <w:szCs w:val="24"/>
          <w:lang w:val="en-US" w:eastAsia="zh-CN"/>
        </w:rPr>
        <w:t>（4）有特定服务团队</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4、地磅参数要求：</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default" w:cs="宋体"/>
          <w:b w:val="0"/>
          <w:bCs w:val="0"/>
          <w:sz w:val="24"/>
          <w:szCs w:val="24"/>
          <w:lang w:val="en-US" w:eastAsia="zh-CN"/>
        </w:rPr>
      </w:pPr>
      <w:r>
        <w:rPr>
          <w:rFonts w:hint="eastAsia" w:cs="宋体"/>
          <w:b w:val="0"/>
          <w:bCs w:val="0"/>
          <w:sz w:val="24"/>
          <w:szCs w:val="24"/>
          <w:lang w:val="en-US" w:eastAsia="zh-CN"/>
        </w:rPr>
        <w:t>（1）称量重量为50T，精准度±20公斤</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default" w:cs="宋体"/>
          <w:b w:val="0"/>
          <w:bCs w:val="0"/>
          <w:sz w:val="24"/>
          <w:szCs w:val="24"/>
          <w:lang w:val="en-US" w:eastAsia="zh-CN"/>
        </w:rPr>
      </w:pPr>
      <w:r>
        <w:rPr>
          <w:rFonts w:hint="eastAsia" w:cs="宋体"/>
          <w:b w:val="0"/>
          <w:bCs w:val="0"/>
          <w:sz w:val="24"/>
          <w:szCs w:val="24"/>
          <w:lang w:val="en-US" w:eastAsia="zh-CN"/>
        </w:rPr>
        <w:t>（2）传感器品牌为：中航  柯力  金钟，均为柱式304不锈钢材质</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default" w:cs="宋体"/>
          <w:b w:val="0"/>
          <w:bCs w:val="0"/>
          <w:sz w:val="24"/>
          <w:szCs w:val="24"/>
          <w:lang w:val="en-US" w:eastAsia="zh-CN"/>
        </w:rPr>
      </w:pPr>
      <w:r>
        <w:rPr>
          <w:rFonts w:hint="eastAsia" w:cs="宋体"/>
          <w:b w:val="0"/>
          <w:bCs w:val="0"/>
          <w:sz w:val="24"/>
          <w:szCs w:val="24"/>
          <w:lang w:val="en-US" w:eastAsia="zh-CN"/>
        </w:rPr>
        <w:t>（3）扛酸碱，耐腐蚀，地磅材质为新钢板（不得使用废弃钢板或翻新钢），钢板厚度为10个厚；</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（4）传感器和议表具有防作弊、防干扰系统；</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（5）保修一年；</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（6）售后相应时间不超12小时。质保期外需维修的，易损配件按出厂价提供，服务费500元/人/天；</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（7）数据上传，手机实时观测数据，并与公司信息化系统协同。</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A、地磅（仪表）数据传输支持标准的串口协议RS232和RS485，至少配置一个RS２３２和一个RS 485，串口可调，协议、数据开放，能够实现与新五丰金蝶ERP系统、海康视频摄像头对接。</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B、必须满足通用物联网协议MQTT/MQTTS/OPCUA协议，或满足通过网关等设备转换后满足通用物联网协议MQTT/MQTTS/OPCUA协议，以保证地磅与华为、阿里等主流IOT平台的接入。</w:t>
      </w:r>
    </w:p>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cs="宋体"/>
          <w:b w:val="0"/>
          <w:bCs w:val="0"/>
          <w:sz w:val="24"/>
          <w:szCs w:val="24"/>
          <w:lang w:val="en-US" w:eastAsia="zh-CN"/>
        </w:rPr>
      </w:pPr>
      <w:r>
        <w:rPr>
          <w:rFonts w:hint="eastAsia" w:cs="宋体"/>
          <w:b w:val="0"/>
          <w:bCs w:val="0"/>
          <w:sz w:val="24"/>
          <w:szCs w:val="24"/>
          <w:lang w:val="en-US" w:eastAsia="zh-CN"/>
        </w:rPr>
        <w:t>C、重量数据传输正确并且稳定，数据波动小，重量数据传输的起始位，终止位清晰可辨别。</w:t>
      </w:r>
    </w:p>
    <w:p>
      <w:pPr>
        <w:pStyle w:val="40"/>
        <w:ind w:left="0" w:leftChars="0" w:firstLine="0" w:firstLineChars="0"/>
        <w:rPr>
          <w:rFonts w:hint="eastAsia"/>
          <w:sz w:val="24"/>
          <w:szCs w:val="24"/>
        </w:rPr>
      </w:pPr>
      <w:r>
        <w:rPr>
          <w:rFonts w:hint="eastAsia"/>
          <w:b/>
          <w:bCs/>
          <w:kern w:val="0"/>
          <w:sz w:val="24"/>
          <w:szCs w:val="24"/>
          <w:lang w:val="en-US" w:eastAsia="zh-CN"/>
        </w:rPr>
        <w:t>5</w:t>
      </w:r>
      <w:r>
        <w:rPr>
          <w:rFonts w:hint="eastAsia"/>
          <w:b/>
          <w:bCs/>
          <w:kern w:val="0"/>
          <w:sz w:val="24"/>
          <w:szCs w:val="24"/>
          <w:lang w:val="en-US"/>
        </w:rPr>
        <w:t>、谈判邀请文件获取：</w:t>
      </w:r>
      <w:r>
        <w:rPr>
          <w:rFonts w:hint="eastAsia"/>
          <w:sz w:val="24"/>
          <w:szCs w:val="24"/>
        </w:rPr>
        <w:t>凡符合谈判资格要求并有意参加谈判者，</w:t>
      </w:r>
      <w:r>
        <w:rPr>
          <w:rFonts w:hint="eastAsia"/>
          <w:sz w:val="24"/>
          <w:szCs w:val="24"/>
          <w:lang w:val="en-US" w:eastAsia="zh-CN"/>
        </w:rPr>
        <w:t>请于2023年3月29日起从湖南新五丰股份有限公司网站（</w:t>
      </w:r>
      <w:r>
        <w:rPr>
          <w:rFonts w:hint="eastAsia"/>
          <w:sz w:val="24"/>
          <w:szCs w:val="24"/>
          <w:lang w:val="en-US" w:eastAsia="zh-CN"/>
        </w:rPr>
        <w:fldChar w:fldCharType="begin"/>
      </w:r>
      <w:r>
        <w:rPr>
          <w:rFonts w:hint="eastAsia"/>
          <w:sz w:val="24"/>
          <w:szCs w:val="24"/>
          <w:lang w:val="en-US" w:eastAsia="zh-CN"/>
        </w:rPr>
        <w:instrText xml:space="preserve"> HYPERLINK "http://www.newwf.com/" </w:instrText>
      </w:r>
      <w:r>
        <w:rPr>
          <w:rFonts w:hint="eastAsia"/>
          <w:sz w:val="24"/>
          <w:szCs w:val="24"/>
          <w:lang w:val="en-US" w:eastAsia="zh-CN"/>
        </w:rPr>
        <w:fldChar w:fldCharType="separate"/>
      </w:r>
      <w:r>
        <w:rPr>
          <w:rFonts w:hint="eastAsia"/>
          <w:sz w:val="24"/>
          <w:szCs w:val="24"/>
          <w:lang w:val="en-US" w:eastAsia="zh-CN"/>
        </w:rPr>
        <w:t>http://www.newwf.com/</w:t>
      </w:r>
      <w:r>
        <w:rPr>
          <w:rFonts w:hint="eastAsia"/>
          <w:sz w:val="24"/>
          <w:szCs w:val="24"/>
          <w:lang w:val="en-US" w:eastAsia="zh-CN"/>
        </w:rPr>
        <w:fldChar w:fldCharType="end"/>
      </w:r>
      <w:r>
        <w:rPr>
          <w:rFonts w:hint="eastAsia"/>
          <w:sz w:val="24"/>
          <w:szCs w:val="24"/>
          <w:lang w:val="en-US" w:eastAsia="zh-CN"/>
        </w:rPr>
        <w:t>）本公告发布网页底部相关下载中自行获取谈判文件</w:t>
      </w:r>
      <w:r>
        <w:rPr>
          <w:rFonts w:hint="eastAsia"/>
          <w:sz w:val="24"/>
          <w:szCs w:val="24"/>
        </w:rPr>
        <w:t>。</w:t>
      </w:r>
      <w:bookmarkStart w:id="3" w:name="_Hlk515127750"/>
    </w:p>
    <w:p>
      <w:pPr>
        <w:pStyle w:val="40"/>
        <w:spacing w:afterLines="0"/>
        <w:ind w:left="0" w:firstLine="0" w:firstLineChars="0"/>
        <w:rPr>
          <w:lang w:val="en-US"/>
        </w:rPr>
      </w:pPr>
      <w:r>
        <w:rPr>
          <w:rFonts w:hint="eastAsia"/>
          <w:b/>
          <w:bCs/>
          <w:kern w:val="0"/>
          <w:sz w:val="24"/>
          <w:szCs w:val="24"/>
          <w:lang w:val="en-US" w:eastAsia="zh-CN"/>
        </w:rPr>
        <w:t>6</w:t>
      </w:r>
      <w:r>
        <w:rPr>
          <w:rFonts w:hint="eastAsia"/>
          <w:b/>
          <w:bCs/>
          <w:kern w:val="0"/>
          <w:sz w:val="24"/>
          <w:szCs w:val="24"/>
        </w:rPr>
        <w:t>、谈判响应</w:t>
      </w:r>
      <w:r>
        <w:rPr>
          <w:b/>
          <w:bCs/>
          <w:kern w:val="0"/>
          <w:sz w:val="24"/>
          <w:szCs w:val="24"/>
        </w:rPr>
        <w:t>文件</w:t>
      </w:r>
      <w:r>
        <w:rPr>
          <w:rFonts w:hint="eastAsia"/>
          <w:b/>
          <w:bCs/>
          <w:kern w:val="0"/>
          <w:sz w:val="24"/>
          <w:szCs w:val="24"/>
        </w:rPr>
        <w:t>递交时间要求：</w:t>
      </w:r>
    </w:p>
    <w:p>
      <w:pPr>
        <w:pStyle w:val="86"/>
        <w:spacing w:line="480" w:lineRule="exact"/>
        <w:ind w:firstLine="482"/>
        <w:jc w:val="left"/>
        <w:rPr>
          <w:rFonts w:ascii="宋体" w:hAnsi="宋体" w:cs="宋体"/>
          <w:kern w:val="0"/>
          <w:sz w:val="24"/>
          <w:szCs w:val="24"/>
        </w:rPr>
      </w:pPr>
      <w:r>
        <w:rPr>
          <w:rFonts w:hint="eastAsia" w:ascii="宋体" w:hAnsi="宋体" w:cs="宋体"/>
          <w:b/>
          <w:kern w:val="0"/>
          <w:sz w:val="24"/>
          <w:szCs w:val="24"/>
        </w:rPr>
        <w:t>供应商于202</w:t>
      </w:r>
      <w:r>
        <w:rPr>
          <w:rFonts w:hint="eastAsia" w:ascii="宋体" w:hAnsi="宋体" w:cs="宋体"/>
          <w:b/>
          <w:kern w:val="0"/>
          <w:sz w:val="24"/>
          <w:szCs w:val="24"/>
          <w:lang w:val="en-US" w:eastAsia="zh-CN"/>
        </w:rPr>
        <w:t>3</w:t>
      </w:r>
      <w:r>
        <w:rPr>
          <w:rFonts w:hint="eastAsia" w:ascii="宋体" w:hAnsi="宋体" w:cs="宋体"/>
          <w:b/>
          <w:kern w:val="0"/>
          <w:sz w:val="24"/>
          <w:szCs w:val="24"/>
        </w:rPr>
        <w:t>年</w:t>
      </w:r>
      <w:r>
        <w:rPr>
          <w:rFonts w:hint="eastAsia" w:ascii="宋体" w:hAnsi="宋体" w:cs="宋体"/>
          <w:b/>
          <w:kern w:val="0"/>
          <w:sz w:val="24"/>
          <w:szCs w:val="24"/>
          <w:lang w:val="en-US" w:eastAsia="zh-CN"/>
        </w:rPr>
        <w:t>4</w:t>
      </w:r>
      <w:r>
        <w:rPr>
          <w:rFonts w:hint="eastAsia" w:ascii="宋体" w:hAnsi="宋体" w:cs="宋体"/>
          <w:b/>
          <w:kern w:val="0"/>
          <w:sz w:val="24"/>
          <w:szCs w:val="24"/>
        </w:rPr>
        <w:t>月</w:t>
      </w:r>
      <w:r>
        <w:rPr>
          <w:rFonts w:hint="eastAsia" w:ascii="宋体" w:hAnsi="宋体" w:cs="宋体"/>
          <w:b/>
          <w:kern w:val="0"/>
          <w:sz w:val="24"/>
          <w:szCs w:val="24"/>
          <w:lang w:val="en-US" w:eastAsia="zh-CN"/>
        </w:rPr>
        <w:t>3</w:t>
      </w:r>
      <w:r>
        <w:rPr>
          <w:rFonts w:hint="eastAsia" w:ascii="宋体" w:hAnsi="宋体" w:cs="宋体"/>
          <w:b/>
          <w:kern w:val="0"/>
          <w:sz w:val="24"/>
          <w:szCs w:val="24"/>
        </w:rPr>
        <w:t>日9</w:t>
      </w:r>
      <w:r>
        <w:rPr>
          <w:rFonts w:hint="eastAsia" w:ascii="宋体" w:hAnsi="宋体" w:cs="宋体"/>
          <w:b/>
          <w:kern w:val="0"/>
          <w:sz w:val="24"/>
          <w:szCs w:val="24"/>
          <w:lang w:val="en-US" w:eastAsia="zh-CN"/>
        </w:rPr>
        <w:t>:00</w:t>
      </w:r>
      <w:r>
        <w:rPr>
          <w:rFonts w:hint="eastAsia" w:ascii="宋体" w:hAnsi="宋体" w:cs="宋体"/>
          <w:b/>
          <w:kern w:val="0"/>
          <w:sz w:val="24"/>
          <w:szCs w:val="24"/>
        </w:rPr>
        <w:t>由授权委托人执密封响应文件在谈判会议现场递交。</w:t>
      </w:r>
    </w:p>
    <w:p>
      <w:pPr>
        <w:pStyle w:val="86"/>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lang w:val="en-US" w:eastAsia="zh-CN"/>
        </w:rPr>
        <w:t>7</w:t>
      </w:r>
      <w:r>
        <w:rPr>
          <w:rFonts w:hint="eastAsia" w:ascii="宋体" w:hAnsi="宋体" w:cs="宋体"/>
          <w:b/>
          <w:bCs/>
          <w:kern w:val="0"/>
          <w:sz w:val="24"/>
          <w:szCs w:val="24"/>
        </w:rPr>
        <w:t>、谈判响应文件要求：（</w:t>
      </w:r>
      <w:r>
        <w:rPr>
          <w:rFonts w:hint="eastAsia" w:ascii="宋体" w:hAnsi="宋体" w:cs="宋体"/>
          <w:b/>
          <w:kern w:val="0"/>
          <w:sz w:val="24"/>
          <w:szCs w:val="24"/>
        </w:rPr>
        <w:t>包含但不限于以下内容）</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6"/>
        <w:spacing w:line="480" w:lineRule="exact"/>
        <w:ind w:firstLine="0" w:firstLineChars="0"/>
        <w:jc w:val="left"/>
        <w:rPr>
          <w:rFonts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bookmarkEnd w:id="3"/>
    <w:p>
      <w:pPr>
        <w:spacing w:line="360" w:lineRule="auto"/>
        <w:rPr>
          <w:rFonts w:ascii="宋体" w:hAnsi="宋体" w:cs="宋体"/>
          <w:b/>
          <w:sz w:val="24"/>
          <w:szCs w:val="24"/>
        </w:rPr>
      </w:pPr>
      <w:bookmarkStart w:id="4" w:name="_Toc152045515"/>
      <w:bookmarkEnd w:id="4"/>
      <w:bookmarkStart w:id="5" w:name="_Toc152042291"/>
      <w:bookmarkEnd w:id="5"/>
      <w:bookmarkStart w:id="6" w:name="_Toc179632531"/>
      <w:bookmarkEnd w:id="6"/>
      <w:r>
        <w:rPr>
          <w:rFonts w:hint="eastAsia" w:ascii="宋体" w:hAnsi="宋体" w:cs="宋体"/>
          <w:b/>
          <w:bCs/>
          <w:kern w:val="0"/>
          <w:sz w:val="24"/>
          <w:szCs w:val="24"/>
          <w:lang w:val="en-US" w:eastAsia="zh-CN"/>
        </w:rPr>
        <w:t>8</w:t>
      </w:r>
      <w:r>
        <w:rPr>
          <w:rFonts w:hint="eastAsia" w:ascii="宋体" w:hAnsi="宋体" w:cs="宋体"/>
          <w:b/>
          <w:bCs/>
          <w:kern w:val="0"/>
          <w:sz w:val="24"/>
          <w:szCs w:val="24"/>
        </w:rPr>
        <w:t>、</w:t>
      </w:r>
      <w:r>
        <w:rPr>
          <w:rFonts w:hint="eastAsia" w:ascii="宋体" w:hAnsi="宋体" w:cs="宋体"/>
          <w:b/>
          <w:sz w:val="24"/>
          <w:szCs w:val="24"/>
        </w:rPr>
        <w:t>谈判保证金：</w:t>
      </w:r>
    </w:p>
    <w:p>
      <w:pPr>
        <w:spacing w:line="360" w:lineRule="auto"/>
        <w:rPr>
          <w:rFonts w:ascii="宋体" w:hAnsi="宋体" w:cs="宋体"/>
          <w:sz w:val="24"/>
          <w:szCs w:val="24"/>
        </w:rPr>
      </w:pPr>
      <w:r>
        <w:rPr>
          <w:rFonts w:hint="eastAsia" w:ascii="宋体" w:hAnsi="宋体" w:cs="宋体"/>
          <w:sz w:val="24"/>
          <w:szCs w:val="24"/>
        </w:rPr>
        <w:t>（1）保证金数额：伍仟元整（¥5000.00元）</w:t>
      </w:r>
    </w:p>
    <w:p>
      <w:pPr>
        <w:spacing w:line="360" w:lineRule="auto"/>
        <w:rPr>
          <w:rFonts w:ascii="宋体" w:hAnsi="宋体" w:cs="宋体"/>
          <w:sz w:val="24"/>
          <w:szCs w:val="24"/>
        </w:rPr>
      </w:pPr>
      <w:r>
        <w:rPr>
          <w:rFonts w:hint="eastAsia" w:ascii="宋体" w:hAnsi="宋体" w:cs="宋体"/>
          <w:sz w:val="24"/>
          <w:szCs w:val="24"/>
        </w:rPr>
        <w:t>（2）缴纳方式：以银行转账等形式(非现金)从谈判单位基本账户缴入以下账户，供应商须确保谈判保证金在谈判截止时间前（含）到达指定账户，以银行查询到账时间为准。</w:t>
      </w:r>
    </w:p>
    <w:p>
      <w:pPr>
        <w:spacing w:line="360" w:lineRule="auto"/>
        <w:rPr>
          <w:rFonts w:ascii="宋体" w:hAnsi="宋体" w:cs="宋体"/>
          <w:sz w:val="24"/>
          <w:szCs w:val="24"/>
        </w:rPr>
      </w:pPr>
      <w:r>
        <w:rPr>
          <w:rFonts w:hint="eastAsia" w:ascii="宋体" w:hAnsi="宋体" w:cs="宋体"/>
          <w:sz w:val="24"/>
          <w:szCs w:val="24"/>
        </w:rPr>
        <w:t>账 户 名：湖南新五丰股份有限公司</w:t>
      </w:r>
    </w:p>
    <w:p>
      <w:pPr>
        <w:rPr>
          <w:rFonts w:ascii="宋体" w:hAnsi="宋体" w:cs="宋体"/>
          <w:sz w:val="24"/>
          <w:szCs w:val="24"/>
          <w:highlight w:val="none"/>
        </w:rPr>
      </w:pPr>
      <w:r>
        <w:rPr>
          <w:rFonts w:hint="eastAsia" w:ascii="宋体" w:hAnsi="宋体" w:cs="宋体"/>
          <w:sz w:val="24"/>
          <w:szCs w:val="24"/>
        </w:rPr>
        <w:t>开户银行</w:t>
      </w:r>
      <w:r>
        <w:rPr>
          <w:rFonts w:hint="eastAsia" w:ascii="宋体" w:hAnsi="宋体" w:cs="宋体"/>
          <w:sz w:val="24"/>
          <w:szCs w:val="24"/>
          <w:highlight w:val="none"/>
        </w:rPr>
        <w:t xml:space="preserve">：交通银行股份有限公司长沙潇湘支行 </w:t>
      </w:r>
    </w:p>
    <w:p>
      <w:pPr>
        <w:spacing w:line="360" w:lineRule="auto"/>
        <w:rPr>
          <w:rFonts w:ascii="宋体" w:hAnsi="宋体" w:cs="宋体"/>
          <w:sz w:val="24"/>
          <w:szCs w:val="24"/>
          <w:highlight w:val="none"/>
        </w:rPr>
      </w:pPr>
      <w:r>
        <w:rPr>
          <w:rFonts w:hint="eastAsia" w:ascii="宋体" w:hAnsi="宋体" w:cs="宋体"/>
          <w:sz w:val="24"/>
          <w:szCs w:val="24"/>
          <w:highlight w:val="none"/>
        </w:rPr>
        <w:t>账    号：43161 00000 181500 04180</w:t>
      </w:r>
      <w:bookmarkStart w:id="29" w:name="_GoBack"/>
      <w:bookmarkEnd w:id="29"/>
    </w:p>
    <w:p>
      <w:pPr>
        <w:spacing w:line="360" w:lineRule="auto"/>
        <w:rPr>
          <w:rFonts w:hint="eastAsia" w:ascii="宋体" w:hAnsi="宋体" w:cs="宋体"/>
          <w:sz w:val="24"/>
          <w:szCs w:val="24"/>
        </w:rPr>
      </w:pPr>
      <w:r>
        <w:rPr>
          <w:rFonts w:hint="eastAsia" w:ascii="宋体" w:hAnsi="宋体" w:cs="宋体"/>
          <w:sz w:val="24"/>
          <w:szCs w:val="24"/>
        </w:rPr>
        <w:t>（3）</w:t>
      </w:r>
      <w:r>
        <w:rPr>
          <w:rFonts w:hint="eastAsia" w:ascii="宋体" w:hAnsi="宋体" w:cs="宋体"/>
          <w:b/>
          <w:bCs/>
          <w:sz w:val="24"/>
          <w:szCs w:val="24"/>
        </w:rPr>
        <w:t>未按时</w:t>
      </w:r>
      <w:r>
        <w:rPr>
          <w:rFonts w:hint="eastAsia" w:ascii="宋体" w:hAnsi="宋体" w:cs="宋体"/>
          <w:b/>
          <w:bCs/>
          <w:sz w:val="24"/>
          <w:szCs w:val="24"/>
          <w:lang w:eastAsia="zh-CN"/>
        </w:rPr>
        <w:t>、</w:t>
      </w:r>
      <w:r>
        <w:rPr>
          <w:rFonts w:hint="eastAsia" w:ascii="宋体" w:hAnsi="宋体" w:cs="宋体"/>
          <w:b/>
          <w:bCs/>
          <w:sz w:val="24"/>
          <w:szCs w:val="24"/>
        </w:rPr>
        <w:t>足额缴纳保证金的，其响应文件将被拒绝。</w:t>
      </w:r>
    </w:p>
    <w:p>
      <w:pPr>
        <w:widowControl/>
        <w:spacing w:line="480" w:lineRule="exact"/>
        <w:jc w:val="left"/>
        <w:rPr>
          <w:rFonts w:ascii="宋体"/>
          <w:b/>
          <w:bCs/>
          <w:kern w:val="0"/>
          <w:sz w:val="24"/>
          <w:szCs w:val="24"/>
        </w:rPr>
      </w:pPr>
      <w:r>
        <w:rPr>
          <w:rFonts w:hint="eastAsia" w:ascii="宋体" w:hAnsi="宋体" w:cs="宋体"/>
          <w:b/>
          <w:bCs/>
          <w:kern w:val="0"/>
          <w:sz w:val="24"/>
          <w:szCs w:val="24"/>
        </w:rPr>
        <w:t>8、谈判时间及</w:t>
      </w:r>
      <w:r>
        <w:rPr>
          <w:rFonts w:ascii="宋体" w:hAnsi="宋体" w:cs="宋体"/>
          <w:b/>
          <w:bCs/>
          <w:kern w:val="0"/>
          <w:sz w:val="24"/>
          <w:szCs w:val="24"/>
        </w:rPr>
        <w:t>地点：</w:t>
      </w:r>
      <w:r>
        <w:rPr>
          <w:rFonts w:hint="eastAsia" w:ascii="宋体" w:hAnsi="宋体" w:cs="宋体"/>
          <w:b/>
          <w:bCs/>
          <w:kern w:val="0"/>
          <w:sz w:val="24"/>
          <w:szCs w:val="24"/>
        </w:rPr>
        <w:t>202</w:t>
      </w:r>
      <w:r>
        <w:rPr>
          <w:rFonts w:hint="eastAsia" w:ascii="宋体" w:hAnsi="宋体" w:cs="宋体"/>
          <w:b/>
          <w:bCs/>
          <w:kern w:val="0"/>
          <w:sz w:val="24"/>
          <w:szCs w:val="24"/>
          <w:lang w:val="en-US" w:eastAsia="zh-CN"/>
        </w:rPr>
        <w:t>3</w:t>
      </w:r>
      <w:r>
        <w:rPr>
          <w:rFonts w:hint="eastAsia" w:ascii="宋体" w:hAnsi="宋体" w:cs="宋体"/>
          <w:b/>
          <w:bCs/>
          <w:kern w:val="0"/>
          <w:sz w:val="24"/>
          <w:szCs w:val="24"/>
        </w:rPr>
        <w:t>年</w:t>
      </w:r>
      <w:r>
        <w:rPr>
          <w:rFonts w:hint="eastAsia" w:ascii="宋体" w:hAnsi="宋体" w:cs="宋体"/>
          <w:b/>
          <w:bCs/>
          <w:kern w:val="0"/>
          <w:sz w:val="24"/>
          <w:szCs w:val="24"/>
          <w:lang w:val="en-US" w:eastAsia="zh-CN"/>
        </w:rPr>
        <w:t>4</w:t>
      </w:r>
      <w:r>
        <w:rPr>
          <w:rFonts w:hint="eastAsia" w:ascii="宋体" w:hAnsi="宋体" w:cs="宋体"/>
          <w:b/>
          <w:bCs/>
          <w:kern w:val="0"/>
          <w:sz w:val="24"/>
          <w:szCs w:val="24"/>
        </w:rPr>
        <w:t>月</w:t>
      </w:r>
      <w:r>
        <w:rPr>
          <w:rFonts w:hint="eastAsia" w:ascii="宋体" w:hAnsi="宋体" w:cs="宋体"/>
          <w:b/>
          <w:bCs/>
          <w:kern w:val="0"/>
          <w:sz w:val="24"/>
          <w:szCs w:val="24"/>
          <w:lang w:val="en-US" w:eastAsia="zh-CN"/>
        </w:rPr>
        <w:t>3</w:t>
      </w:r>
      <w:r>
        <w:rPr>
          <w:rFonts w:hint="eastAsia" w:ascii="宋体" w:hAnsi="宋体" w:cs="宋体"/>
          <w:b/>
          <w:bCs/>
          <w:kern w:val="0"/>
          <w:sz w:val="24"/>
          <w:szCs w:val="24"/>
        </w:rPr>
        <w:t>日9:00，</w:t>
      </w:r>
      <w:r>
        <w:rPr>
          <w:rFonts w:hint="eastAsia" w:ascii="宋体" w:hAnsi="宋体" w:cs="宋体"/>
          <w:b/>
          <w:bCs/>
          <w:kern w:val="0"/>
          <w:sz w:val="24"/>
          <w:szCs w:val="24"/>
          <w:lang w:val="en-US" w:eastAsia="zh-CN"/>
        </w:rPr>
        <w:t>新五丰股份有限公司19楼</w:t>
      </w:r>
      <w:r>
        <w:rPr>
          <w:rFonts w:hint="eastAsia" w:ascii="宋体" w:hAnsi="宋体" w:cs="宋体"/>
          <w:b/>
          <w:bCs/>
          <w:kern w:val="0"/>
          <w:sz w:val="24"/>
          <w:szCs w:val="24"/>
        </w:rPr>
        <w:t>。</w:t>
      </w:r>
    </w:p>
    <w:p>
      <w:pPr>
        <w:widowControl/>
        <w:spacing w:line="480" w:lineRule="exact"/>
        <w:jc w:val="left"/>
        <w:rPr>
          <w:rFonts w:ascii="宋体" w:hAnsi="宋体" w:cs="宋体"/>
          <w:sz w:val="24"/>
          <w:szCs w:val="24"/>
          <w:u w:val="single"/>
        </w:rPr>
      </w:pPr>
      <w:r>
        <w:rPr>
          <w:rFonts w:hint="eastAsia" w:ascii="宋体"/>
          <w:b/>
          <w:bCs/>
          <w:kern w:val="0"/>
          <w:sz w:val="24"/>
          <w:szCs w:val="24"/>
        </w:rPr>
        <w:t>9、</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ascii="宋体" w:hAnsi="宋体" w:cs="宋体"/>
          <w:kern w:val="0"/>
          <w:sz w:val="24"/>
          <w:szCs w:val="24"/>
          <w:u w:val="single"/>
        </w:rPr>
        <w:t xml:space="preserve">   </w:t>
      </w:r>
      <w:r>
        <w:rPr>
          <w:rFonts w:hint="eastAsia" w:ascii="宋体" w:hAnsi="宋体" w:cs="宋体"/>
          <w:kern w:val="0"/>
          <w:sz w:val="24"/>
          <w:szCs w:val="24"/>
          <w:u w:val="single"/>
          <w:lang w:val="en-US" w:eastAsia="zh-CN"/>
        </w:rPr>
        <w:t>杨勇</w:t>
      </w:r>
      <w:r>
        <w:rPr>
          <w:rFonts w:ascii="宋体" w:hAnsi="宋体" w:cs="宋体"/>
          <w:sz w:val="24"/>
          <w:szCs w:val="24"/>
          <w:u w:val="single"/>
        </w:rPr>
        <w:t xml:space="preserve">   </w:t>
      </w:r>
    </w:p>
    <w:p>
      <w:pPr>
        <w:widowControl/>
        <w:spacing w:line="480" w:lineRule="exact"/>
        <w:ind w:firstLine="482" w:firstLineChars="200"/>
        <w:jc w:val="left"/>
        <w:rPr>
          <w:rFonts w:ascii="宋体" w:hAnsi="宋体" w:cs="宋体"/>
          <w:kern w:val="0"/>
          <w:sz w:val="24"/>
          <w:szCs w:val="24"/>
        </w:rPr>
      </w:pPr>
      <w:r>
        <w:rPr>
          <w:rFonts w:hint="eastAsia" w:ascii="宋体" w:hAnsi="宋体" w:cs="宋体"/>
          <w:b/>
          <w:bCs/>
          <w:kern w:val="0"/>
          <w:sz w:val="24"/>
          <w:szCs w:val="24"/>
        </w:rPr>
        <w:t>电</w:t>
      </w:r>
      <w:r>
        <w:rPr>
          <w:rFonts w:ascii="宋体"/>
          <w:b/>
          <w:bCs/>
          <w:kern w:val="0"/>
          <w:sz w:val="24"/>
          <w:szCs w:val="24"/>
        </w:rPr>
        <w:t>   </w:t>
      </w:r>
      <w:r>
        <w:rPr>
          <w:rFonts w:ascii="宋体" w:hAnsi="宋体" w:cs="宋体"/>
          <w:b/>
          <w:bCs/>
          <w:kern w:val="0"/>
          <w:sz w:val="24"/>
          <w:szCs w:val="24"/>
        </w:rPr>
        <w:t xml:space="preserve"> </w:t>
      </w:r>
      <w:r>
        <w:rPr>
          <w:rFonts w:hint="eastAsia" w:ascii="宋体" w:hAnsi="宋体" w:cs="宋体"/>
          <w:b/>
          <w:bCs/>
          <w:kern w:val="0"/>
          <w:sz w:val="24"/>
          <w:szCs w:val="24"/>
        </w:rPr>
        <w:t>话：</w:t>
      </w:r>
      <w:r>
        <w:rPr>
          <w:rFonts w:hint="eastAsia" w:ascii="宋体"/>
          <w:kern w:val="0"/>
          <w:sz w:val="24"/>
          <w:szCs w:val="24"/>
          <w:u w:val="single"/>
          <w:lang w:val="en-US" w:eastAsia="zh-CN"/>
        </w:rPr>
        <w:t>13874831366</w:t>
      </w:r>
      <w:r>
        <w:rPr>
          <w:rFonts w:ascii="宋体"/>
          <w:kern w:val="0"/>
          <w:sz w:val="24"/>
          <w:szCs w:val="24"/>
        </w:rPr>
        <w:t>   </w:t>
      </w:r>
      <w:r>
        <w:rPr>
          <w:rFonts w:ascii="宋体" w:hAnsi="宋体" w:cs="宋体"/>
          <w:kern w:val="0"/>
          <w:sz w:val="24"/>
          <w:szCs w:val="24"/>
        </w:rPr>
        <w:t xml:space="preserve">    </w:t>
      </w:r>
    </w:p>
    <w:p>
      <w:pPr>
        <w:widowControl/>
        <w:spacing w:line="480" w:lineRule="exact"/>
        <w:jc w:val="left"/>
        <w:rPr>
          <w:rFonts w:ascii="宋体" w:hAnsi="宋体" w:cs="宋体"/>
          <w:kern w:val="0"/>
          <w:sz w:val="24"/>
          <w:szCs w:val="24"/>
        </w:rPr>
      </w:pPr>
    </w:p>
    <w:p>
      <w:pPr>
        <w:widowControl/>
        <w:spacing w:line="480" w:lineRule="exact"/>
        <w:jc w:val="left"/>
        <w:rPr>
          <w:rFonts w:ascii="宋体" w:hAnsi="宋体" w:cs="宋体"/>
          <w:kern w:val="0"/>
          <w:sz w:val="24"/>
          <w:szCs w:val="24"/>
        </w:rPr>
      </w:pPr>
      <w:r>
        <w:rPr>
          <w:rFonts w:ascii="宋体" w:hAnsi="宋体" w:cs="宋体"/>
          <w:kern w:val="0"/>
          <w:sz w:val="24"/>
          <w:szCs w:val="24"/>
        </w:rPr>
        <w:t xml:space="preserve">     </w:t>
      </w:r>
    </w:p>
    <w:p>
      <w:pPr>
        <w:pStyle w:val="86"/>
        <w:spacing w:line="480" w:lineRule="exact"/>
        <w:ind w:firstLine="228" w:firstLineChars="95"/>
        <w:jc w:val="left"/>
        <w:rPr>
          <w:rFonts w:ascii="宋体" w:hAnsi="宋体" w:cs="宋体"/>
          <w:kern w:val="0"/>
          <w:sz w:val="24"/>
          <w:szCs w:val="24"/>
        </w:rPr>
      </w:pPr>
    </w:p>
    <w:p>
      <w:pPr>
        <w:pStyle w:val="7"/>
        <w:spacing w:line="560" w:lineRule="exact"/>
        <w:jc w:val="center"/>
        <w:rPr>
          <w:rFonts w:ascii="宋体" w:hAnsi="宋体" w:cs="宋体"/>
          <w:sz w:val="32"/>
          <w:szCs w:val="32"/>
        </w:rPr>
      </w:pPr>
      <w:bookmarkStart w:id="7" w:name="_Toc227423920"/>
      <w:bookmarkStart w:id="8" w:name="_Toc32546"/>
      <w:bookmarkStart w:id="9" w:name="_Toc26408"/>
      <w:bookmarkStart w:id="10" w:name="_Toc1640"/>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41"/>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40"/>
        <w:spacing w:after="312"/>
        <w:ind w:left="0" w:firstLine="0" w:firstLineChars="0"/>
        <w:rPr>
          <w:lang w:val="en-US"/>
        </w:rPr>
      </w:pPr>
    </w:p>
    <w:p>
      <w:pPr>
        <w:pStyle w:val="7"/>
        <w:spacing w:line="560" w:lineRule="exact"/>
        <w:rPr>
          <w:rFonts w:ascii="宋体" w:hAnsi="宋体" w:cs="宋体"/>
          <w:sz w:val="32"/>
          <w:szCs w:val="32"/>
        </w:rPr>
        <w:sectPr>
          <w:pgSz w:w="11906" w:h="16838"/>
          <w:pgMar w:top="851" w:right="1133" w:bottom="993" w:left="1418" w:header="709" w:footer="120" w:gutter="0"/>
          <w:cols w:space="720" w:num="1"/>
          <w:docGrid w:type="lines" w:linePitch="312" w:charSpace="0"/>
        </w:sectPr>
      </w:pPr>
      <w:bookmarkStart w:id="12" w:name="_Toc5623"/>
      <w:bookmarkStart w:id="13" w:name="_Toc23244"/>
    </w:p>
    <w:p>
      <w:pPr>
        <w:pStyle w:val="7"/>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8"/>
        <w:numPr>
          <w:ilvl w:val="0"/>
          <w:numId w:val="0"/>
        </w:numPr>
        <w:spacing w:line="560" w:lineRule="exact"/>
        <w:jc w:val="both"/>
        <w:rPr>
          <w:rFonts w:ascii="宋体" w:hAnsi="宋体" w:eastAsia="宋体" w:cs="宋体"/>
          <w:w w:val="100"/>
          <w:kern w:val="32"/>
          <w:sz w:val="24"/>
          <w:szCs w:val="24"/>
        </w:rPr>
      </w:pPr>
      <w:bookmarkStart w:id="15" w:name="_Toc7800"/>
      <w:bookmarkStart w:id="16" w:name="_Toc227423930"/>
      <w:bookmarkStart w:id="17" w:name="_Toc17449"/>
      <w:bookmarkStart w:id="18" w:name="_Toc26871"/>
      <w:bookmarkStart w:id="19" w:name="_Toc12086"/>
      <w:r>
        <w:rPr>
          <w:rFonts w:hint="eastAsia" w:ascii="宋体" w:hAnsi="宋体" w:eastAsia="宋体" w:cs="宋体"/>
          <w:w w:val="100"/>
          <w:kern w:val="32"/>
          <w:sz w:val="24"/>
          <w:szCs w:val="24"/>
        </w:rPr>
        <w:t>一   项目概况（具体情况详见清单）</w:t>
      </w:r>
      <w:bookmarkEnd w:id="15"/>
    </w:p>
    <w:p>
      <w:pPr>
        <w:spacing w:line="360" w:lineRule="auto"/>
        <w:rPr>
          <w:rFonts w:hint="default" w:ascii="宋体" w:hAnsi="宋体" w:eastAsia="宋体" w:cs="宋体"/>
          <w:sz w:val="24"/>
          <w:szCs w:val="24"/>
          <w:lang w:val="en-US" w:eastAsia="zh-CN"/>
        </w:rPr>
      </w:pPr>
      <w:r>
        <w:rPr>
          <w:rFonts w:hint="eastAsia" w:ascii="宋体" w:hAnsi="宋体" w:cs="宋体"/>
          <w:bCs/>
          <w:sz w:val="24"/>
          <w:szCs w:val="24"/>
        </w:rPr>
        <w:t>1、地点：</w:t>
      </w:r>
      <w:r>
        <w:rPr>
          <w:rFonts w:hint="eastAsia" w:ascii="宋体" w:hAnsi="宋体" w:cs="宋体"/>
          <w:sz w:val="24"/>
          <w:szCs w:val="24"/>
        </w:rPr>
        <w:t>本项目位于湖南新五丰股份有限公司</w:t>
      </w:r>
      <w:r>
        <w:rPr>
          <w:rFonts w:hint="eastAsia" w:ascii="宋体" w:hAnsi="宋体" w:cs="宋体"/>
          <w:sz w:val="24"/>
          <w:szCs w:val="24"/>
          <w:lang w:val="en-US" w:eastAsia="zh-CN"/>
        </w:rPr>
        <w:t>各养殖基地（湖南省内）</w:t>
      </w:r>
    </w:p>
    <w:p>
      <w:pPr>
        <w:spacing w:line="360" w:lineRule="auto"/>
        <w:rPr>
          <w:rFonts w:ascii="宋体" w:hAnsi="宋体" w:cs="宋体"/>
          <w:sz w:val="24"/>
          <w:szCs w:val="24"/>
        </w:rPr>
      </w:pPr>
      <w:r>
        <w:rPr>
          <w:rFonts w:hint="eastAsia" w:ascii="宋体" w:hAnsi="宋体" w:cs="宋体"/>
          <w:bCs/>
          <w:sz w:val="24"/>
          <w:szCs w:val="24"/>
        </w:rPr>
        <w:t>2、</w:t>
      </w:r>
      <w:r>
        <w:rPr>
          <w:rFonts w:hint="eastAsia" w:ascii="宋体" w:hAnsi="宋体" w:cs="宋体"/>
          <w:bCs/>
          <w:sz w:val="24"/>
          <w:szCs w:val="24"/>
          <w:lang w:val="en-US" w:eastAsia="zh-CN"/>
        </w:rPr>
        <w:t>数量：≥6台</w:t>
      </w:r>
      <w:r>
        <w:rPr>
          <w:rFonts w:hint="eastAsia" w:ascii="宋体" w:hAnsi="宋体" w:cs="宋体"/>
          <w:sz w:val="24"/>
          <w:szCs w:val="24"/>
        </w:rPr>
        <w:t>。</w:t>
      </w:r>
      <w:bookmarkStart w:id="20" w:name="_Toc43609779"/>
      <w:bookmarkStart w:id="21" w:name="_Toc43611498"/>
      <w:bookmarkStart w:id="22" w:name="_Toc43608973"/>
      <w:bookmarkStart w:id="23" w:name="_Toc43609884"/>
      <w:bookmarkStart w:id="24" w:name="_Toc100825986"/>
    </w:p>
    <w:p>
      <w:pPr>
        <w:pStyle w:val="82"/>
        <w:spacing w:line="360" w:lineRule="auto"/>
        <w:ind w:firstLine="0" w:firstLineChars="0"/>
        <w:rPr>
          <w:rFonts w:ascii="宋体" w:hAnsi="宋体" w:cs="宋体"/>
          <w:sz w:val="24"/>
          <w:szCs w:val="24"/>
        </w:rPr>
      </w:pPr>
      <w:r>
        <w:rPr>
          <w:rFonts w:hint="eastAsia" w:ascii="宋体" w:hAnsi="宋体" w:cs="宋体"/>
          <w:b/>
          <w:bCs/>
          <w:sz w:val="24"/>
          <w:szCs w:val="24"/>
        </w:rPr>
        <w:t>二、售后服务及其他说明：</w:t>
      </w:r>
    </w:p>
    <w:p>
      <w:pPr>
        <w:pStyle w:val="82"/>
        <w:spacing w:line="360" w:lineRule="auto"/>
        <w:ind w:firstLine="0" w:firstLineChars="0"/>
        <w:rPr>
          <w:rFonts w:ascii="宋体" w:hAnsi="宋体" w:cs="宋体"/>
          <w:sz w:val="24"/>
          <w:szCs w:val="24"/>
        </w:rPr>
      </w:pPr>
      <w:r>
        <w:rPr>
          <w:rFonts w:hint="eastAsia" w:ascii="宋体" w:hAnsi="宋体" w:cs="宋体"/>
          <w:sz w:val="24"/>
          <w:szCs w:val="24"/>
        </w:rPr>
        <w:t>1、质保期：一年。</w:t>
      </w:r>
    </w:p>
    <w:p>
      <w:pPr>
        <w:pStyle w:val="82"/>
        <w:spacing w:line="360" w:lineRule="auto"/>
        <w:ind w:firstLine="0" w:firstLineChars="0"/>
        <w:rPr>
          <w:rFonts w:ascii="宋体" w:hAnsi="宋体" w:cs="宋体"/>
          <w:sz w:val="24"/>
          <w:szCs w:val="24"/>
        </w:rPr>
      </w:pPr>
      <w:r>
        <w:rPr>
          <w:rFonts w:hint="eastAsia" w:ascii="宋体" w:hAnsi="宋体" w:cs="宋体"/>
          <w:sz w:val="24"/>
          <w:szCs w:val="24"/>
        </w:rPr>
        <w:t>2、质保期内出现任何质量问题（人为破坏或自然灾害等不可抗力除外），由成交单位负责全免费（免全部工时费、材料费、管理费、财务费等等）更换或维修。</w:t>
      </w:r>
    </w:p>
    <w:p>
      <w:pPr>
        <w:pStyle w:val="82"/>
        <w:spacing w:line="360" w:lineRule="auto"/>
        <w:ind w:firstLine="0" w:firstLineChars="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参数要求</w:t>
      </w:r>
      <w:r>
        <w:rPr>
          <w:rFonts w:hint="eastAsia" w:ascii="宋体" w:hAnsi="宋体" w:cs="宋体"/>
          <w:sz w:val="24"/>
          <w:szCs w:val="24"/>
        </w:rPr>
        <w:t>：</w:t>
      </w:r>
    </w:p>
    <w:p>
      <w:pPr>
        <w:pStyle w:val="20"/>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宋体" w:hAnsi="宋体" w:eastAsia="宋体" w:cs="宋体"/>
          <w:b/>
          <w:bCs/>
          <w:color w:val="000000"/>
          <w:sz w:val="24"/>
          <w:szCs w:val="24"/>
          <w:u w:val="none"/>
          <w:lang w:val="en-US" w:eastAsia="zh-CN"/>
        </w:rPr>
      </w:pPr>
      <w:r>
        <w:rPr>
          <w:rFonts w:hint="eastAsia" w:ascii="宋体" w:hAnsi="宋体" w:cs="宋体"/>
          <w:b/>
          <w:bCs/>
          <w:color w:val="000000"/>
          <w:sz w:val="28"/>
          <w:szCs w:val="28"/>
          <w:u w:val="none"/>
          <w:lang w:val="en-US" w:eastAsia="zh-CN"/>
        </w:rPr>
        <w:t>（</w:t>
      </w:r>
      <w:r>
        <w:rPr>
          <w:rFonts w:hint="eastAsia" w:ascii="宋体" w:hAnsi="宋体" w:eastAsia="宋体" w:cs="宋体"/>
          <w:b/>
          <w:bCs/>
          <w:color w:val="000000"/>
          <w:sz w:val="24"/>
          <w:szCs w:val="24"/>
          <w:u w:val="none"/>
          <w:lang w:val="en-US" w:eastAsia="zh-CN"/>
        </w:rPr>
        <w:t>1）电子汽车衡质量标准及技术要求</w:t>
      </w:r>
    </w:p>
    <w:p>
      <w:pPr>
        <w:rPr>
          <w:rFonts w:hint="eastAsia" w:ascii="宋体" w:hAnsi="宋体" w:eastAsia="宋体" w:cs="宋体"/>
          <w:sz w:val="24"/>
          <w:szCs w:val="24"/>
        </w:rPr>
      </w:pPr>
      <w:r>
        <w:rPr>
          <w:rFonts w:hint="eastAsia" w:ascii="宋体" w:hAnsi="宋体" w:eastAsia="宋体" w:cs="宋体"/>
          <w:color w:val="000000"/>
          <w:sz w:val="24"/>
          <w:szCs w:val="24"/>
          <w:u w:val="none"/>
          <w:lang w:val="en-US" w:eastAsia="zh-CN"/>
        </w:rPr>
        <w:t xml:space="preserve"> 电子汽车衡按国家计量标准，符合固定式电子秤GB7723-2017,电子衡器通用技术条件GB/T14249.2-93,称重传感器检定规程</w:t>
      </w:r>
      <w:r>
        <w:rPr>
          <w:rFonts w:hint="eastAsia" w:ascii="宋体" w:hAnsi="宋体" w:eastAsia="宋体" w:cs="宋体"/>
          <w:kern w:val="0"/>
          <w:sz w:val="24"/>
          <w:szCs w:val="24"/>
          <w:lang w:val="en-US" w:eastAsia="zh-CN" w:bidi="ar-SA"/>
        </w:rPr>
        <w:t>GB/T 7551-2008</w:t>
      </w:r>
      <w:r>
        <w:rPr>
          <w:rFonts w:hint="eastAsia" w:ascii="宋体" w:hAnsi="宋体" w:eastAsia="宋体" w:cs="宋体"/>
          <w:color w:val="000000"/>
          <w:sz w:val="24"/>
          <w:szCs w:val="24"/>
          <w:u w:val="none"/>
          <w:lang w:val="en-US" w:eastAsia="zh-CN"/>
        </w:rPr>
        <w:t>,产品质量由乙方三包，免费保修壹年（</w:t>
      </w:r>
      <w:r>
        <w:rPr>
          <w:rFonts w:hint="eastAsia" w:ascii="宋体" w:hAnsi="宋体" w:eastAsia="宋体" w:cs="宋体"/>
          <w:b w:val="0"/>
          <w:bCs/>
          <w:sz w:val="24"/>
          <w:szCs w:val="24"/>
        </w:rPr>
        <w:t>若因操作不当或雷击、水灾、地震、强电流等人为及不可抗力因素造成的损坏，不在保修范围之列。</w:t>
      </w:r>
      <w:r>
        <w:rPr>
          <w:rFonts w:hint="eastAsia" w:ascii="宋体" w:hAnsi="宋体" w:eastAsia="宋体" w:cs="宋体"/>
          <w:color w:val="000000"/>
          <w:sz w:val="24"/>
          <w:szCs w:val="24"/>
          <w:u w:val="none"/>
          <w:lang w:val="en-US" w:eastAsia="zh-CN"/>
        </w:rPr>
        <w:t>）质保期内在正常使用情况下出现质量问题时，供方应当在接到需方通知后12小时内保修包换，逾期供方未修换的，需方可以自行更换，费用由供方承担。</w:t>
      </w:r>
      <w:r>
        <w:rPr>
          <w:rFonts w:hint="eastAsia" w:ascii="宋体" w:hAnsi="宋体" w:eastAsia="宋体" w:cs="宋体"/>
          <w:b w:val="0"/>
          <w:bCs/>
          <w:sz w:val="24"/>
          <w:szCs w:val="24"/>
        </w:rPr>
        <w:t>保修期满后，供方提供有偿终身维修和提供备品备件。</w:t>
      </w:r>
    </w:p>
    <w:p>
      <w:pPr>
        <w:numPr>
          <w:ilvl w:val="0"/>
          <w:numId w:val="0"/>
        </w:numPr>
        <w:jc w:val="both"/>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有关的规程、规范和标准</w:t>
      </w:r>
    </w:p>
    <w:p>
      <w:pPr>
        <w:spacing w:line="274"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设备执行标准</w:t>
      </w:r>
    </w:p>
    <w:p>
      <w:pPr>
        <w:tabs>
          <w:tab w:val="left" w:pos="283"/>
        </w:tabs>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汽车衡称体结构的设计、制造、试验等符合中国的最新标准（最新版本）：</w:t>
      </w:r>
    </w:p>
    <w:p>
      <w:pPr>
        <w:widowControl/>
        <w:adjustRightInd w:val="0"/>
        <w:spacing w:line="500" w:lineRule="exact"/>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A、原材料进货检验和试验</w:t>
      </w:r>
      <w:r>
        <w:rPr>
          <w:rFonts w:hint="eastAsia" w:ascii="宋体" w:hAnsi="宋体" w:eastAsia="宋体" w:cs="宋体"/>
          <w:b/>
          <w:bCs/>
          <w:kern w:val="0"/>
          <w:sz w:val="24"/>
          <w:szCs w:val="24"/>
          <w:lang w:val="en-US" w:eastAsia="zh-CN" w:bidi="ar-SA"/>
        </w:rPr>
        <w:tab/>
      </w:r>
      <w:r>
        <w:rPr>
          <w:rFonts w:hint="eastAsia" w:ascii="宋体" w:hAnsi="宋体" w:eastAsia="宋体" w:cs="宋体"/>
          <w:b/>
          <w:bCs/>
          <w:kern w:val="0"/>
          <w:sz w:val="24"/>
          <w:szCs w:val="24"/>
          <w:lang w:val="en-US" w:eastAsia="zh-CN" w:bidi="ar-SA"/>
        </w:rPr>
        <w:t xml:space="preserve">    执行JH/QG07.01-1998《进货检验和试验控制程序》</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原材料机构性能试验及主要辅料化学成份分析</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执行JH/QG07-1998《理化试验控制程序》</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钢板</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执行JH/JS044-1996《钢板进货技术条件》</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工字钢、槽钢</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执行JH/JS077-1996《工字钢、槽钢进货技术条件》</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等边角钢</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执行JH/JS075-1996《等边角钢进货技术条件》</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电源变压器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执行JH/JS102-1998《电源变压器进货检验规范》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接线端子</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执行JH/JS023-1998《接线端子进货检验规范》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指示灯、蜂鸣器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执行JH/JS120-1998《指示灯、蜂鸣器进货检验规范》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交流接触器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执行JH/JS122-1995《接触器类进货检验规范》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热继电器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执行JH/JS131-1995《热继电器进货检验规范》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直流稳压电源</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执行JH/JS176-1998《直流稳压电源进货检验规范》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熔断器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执行JH/JS123-1998《熔断器进货检验规范》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开关元件</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执行JH/JS121-1998《开关元件进货检验规范》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可编程控制器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执行JH/JS114-1998《PLC进货检验规范》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电缆线</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执行JH/JS455-1998《电缆进货检验规范》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屏蔽电缆</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执行JH/JS119-1998《屏蔽电缆进货技术条件》</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整流二极管</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执行JH/JS111-1998《整流二极管进货检验规范》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标准紧固件</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执行JH/JS061-1998《标准件进货检验规范》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UPS电源</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执行JH/JS066-1999《UPS电源进货检验规范》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振动器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执行JH/JS051-1995《振动器进货检验规范》</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B、过程检验和试验</w:t>
      </w:r>
      <w:r>
        <w:rPr>
          <w:rFonts w:hint="eastAsia" w:ascii="宋体" w:hAnsi="宋体" w:eastAsia="宋体" w:cs="宋体"/>
          <w:b/>
          <w:bCs/>
          <w:kern w:val="0"/>
          <w:sz w:val="24"/>
          <w:szCs w:val="24"/>
          <w:lang w:val="en-US" w:eastAsia="zh-CN" w:bidi="ar-SA"/>
        </w:rPr>
        <w:tab/>
      </w:r>
      <w:r>
        <w:rPr>
          <w:rFonts w:hint="eastAsia" w:ascii="宋体" w:hAnsi="宋体" w:eastAsia="宋体" w:cs="宋体"/>
          <w:b/>
          <w:bCs/>
          <w:kern w:val="0"/>
          <w:sz w:val="24"/>
          <w:szCs w:val="24"/>
          <w:lang w:val="en-US" w:eastAsia="zh-CN" w:bidi="ar-SA"/>
        </w:rPr>
        <w:t>执行JH/JS07.02-1998《过程检验和试验控制程序》</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钢板的预处理</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执行GB8923-88的Sa 2.5级</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槽钢、工字钢、角钢</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执行GB8923-88涂装前钢材表面锈蚀等级和除锈等级的Sa 2.5级</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零件的下料</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执行201/62/61下料作业指导书，所有零件的下料尺寸严格按图纸要求，主受力件承重板不允许拼接</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加工零件</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按所设计图纸工艺及所提相应检测设备进行检测</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主受力结构承重座与料斗的焊接部位的焊缝</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采用超声波检查如发现焊接缺陷则采取相应措施保证所设计承载要求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涂漆</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执行TY29-21《涂漆工艺守则》及3265/6418《涂漆工艺作业指导书》符合其漆膜厚度和外观质量要求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电气部分动作试验</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执行《试验程序》</w:t>
      </w:r>
    </w:p>
    <w:p>
      <w:pPr>
        <w:widowControl/>
        <w:adjustRightInd w:val="0"/>
        <w:spacing w:line="500" w:lineRule="exact"/>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C、产品包装</w:t>
      </w:r>
      <w:r>
        <w:rPr>
          <w:rFonts w:hint="eastAsia" w:ascii="宋体" w:hAnsi="宋体" w:eastAsia="宋体" w:cs="宋体"/>
          <w:b/>
          <w:bCs/>
          <w:kern w:val="0"/>
          <w:sz w:val="24"/>
          <w:szCs w:val="24"/>
          <w:lang w:val="en-US" w:eastAsia="zh-CN" w:bidi="ar-SA"/>
        </w:rPr>
        <w:tab/>
      </w:r>
      <w:r>
        <w:rPr>
          <w:rFonts w:hint="eastAsia" w:ascii="宋体" w:hAnsi="宋体" w:eastAsia="宋体" w:cs="宋体"/>
          <w:b/>
          <w:bCs/>
          <w:kern w:val="0"/>
          <w:sz w:val="24"/>
          <w:szCs w:val="24"/>
          <w:lang w:val="en-US" w:eastAsia="zh-CN" w:bidi="ar-SA"/>
        </w:rPr>
        <w:t>执行JH/QG06.13-1998《包装控制程序》</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零部件包装</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执行JH/JS137-1995《衡器产品包装技术条件》</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JH/JS138-1995《衡器产品包装方法》</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整机性能试验</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现场进行执行JJG（电力）02-96检定规程</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技术指标</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符合标书要求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偏载试验</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符合JJG（电力）02-96检定规程要求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鉴别力、示值重复性、稳定性</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符合JJG（电力）02-96检定规程要求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抗电磁干扰</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符合JJG（电力）02-96检定规程要求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电源端子与称量斗外壳间的绝缘电阻</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符合JJG（电力）02-96检定规程要求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电源电压波动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符合JJG（电力）02-96检定规程要求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称量点的示值准确性</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符合JJG（电力）02-96检定规程要求</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称重传感器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符合GB/7551《称重传感器》中的有关规定并具有合格证</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称重显示器</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符合GB/7724-87《称重显示控制器技术条件》中的有关规定并具有合格证</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lang w:val="en-US" w:eastAsia="zh-CN"/>
        </w:rPr>
        <w:t>D、</w:t>
      </w:r>
      <w:r>
        <w:rPr>
          <w:rFonts w:hint="eastAsia" w:ascii="宋体" w:hAnsi="宋体" w:eastAsia="宋体" w:cs="宋体"/>
          <w:b/>
          <w:bCs/>
          <w:sz w:val="24"/>
          <w:szCs w:val="24"/>
        </w:rPr>
        <w:t>设备验收标准：</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GB/T 7723-2017        《固定式电子衡》</w:t>
      </w:r>
    </w:p>
    <w:p>
      <w:pPr>
        <w:widowControl/>
        <w:adjustRightInd w:val="0"/>
        <w:spacing w:line="5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GB/T 7551-2008   </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 xml:space="preserve">    《称重传感器》</w:t>
      </w:r>
    </w:p>
    <w:p>
      <w:pPr>
        <w:widowControl/>
        <w:adjustRightInd w:val="0"/>
        <w:spacing w:line="500" w:lineRule="exact"/>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kern w:val="0"/>
          <w:sz w:val="24"/>
          <w:szCs w:val="24"/>
          <w:lang w:val="en-US" w:eastAsia="zh-CN" w:bidi="ar-SA"/>
        </w:rPr>
        <w:t xml:space="preserve">GB/T 7724-2002   </w:t>
      </w:r>
      <w:r>
        <w:rPr>
          <w:rFonts w:hint="eastAsia" w:ascii="宋体" w:hAnsi="宋体" w:eastAsia="宋体" w:cs="宋体"/>
          <w:kern w:val="0"/>
          <w:sz w:val="24"/>
          <w:szCs w:val="24"/>
          <w:lang w:val="en-US" w:eastAsia="zh-CN" w:bidi="ar-SA"/>
        </w:rPr>
        <w:tab/>
      </w:r>
      <w:r>
        <w:rPr>
          <w:rFonts w:hint="eastAsia" w:ascii="宋体" w:hAnsi="宋体" w:eastAsia="宋体" w:cs="宋体"/>
          <w:kern w:val="0"/>
          <w:sz w:val="24"/>
          <w:szCs w:val="24"/>
          <w:lang w:val="en-US" w:eastAsia="zh-CN" w:bidi="ar-SA"/>
        </w:rPr>
        <w:t xml:space="preserve">    《称重显示控</w:t>
      </w:r>
      <w:r>
        <w:rPr>
          <w:rFonts w:hint="eastAsia" w:ascii="宋体" w:hAnsi="宋体" w:eastAsia="宋体" w:cs="宋体"/>
          <w:b w:val="0"/>
          <w:bCs w:val="0"/>
          <w:kern w:val="0"/>
          <w:sz w:val="24"/>
          <w:szCs w:val="24"/>
          <w:lang w:val="en-US" w:eastAsia="zh-CN" w:bidi="ar-SA"/>
        </w:rPr>
        <w:t>制器》</w:t>
      </w:r>
    </w:p>
    <w:p>
      <w:pPr>
        <w:widowControl/>
        <w:adjustRightInd w:val="0"/>
        <w:spacing w:line="500" w:lineRule="exact"/>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 xml:space="preserve">JJG539-1997      </w:t>
      </w:r>
      <w:r>
        <w:rPr>
          <w:rFonts w:hint="eastAsia" w:ascii="宋体" w:hAnsi="宋体" w:eastAsia="宋体" w:cs="宋体"/>
          <w:b w:val="0"/>
          <w:bCs w:val="0"/>
          <w:kern w:val="0"/>
          <w:sz w:val="24"/>
          <w:szCs w:val="24"/>
          <w:lang w:val="en-US" w:eastAsia="zh-CN" w:bidi="ar-SA"/>
        </w:rPr>
        <w:tab/>
      </w:r>
      <w:r>
        <w:rPr>
          <w:rFonts w:hint="eastAsia" w:ascii="宋体" w:hAnsi="宋体" w:eastAsia="宋体" w:cs="宋体"/>
          <w:b w:val="0"/>
          <w:bCs w:val="0"/>
          <w:kern w:val="0"/>
          <w:sz w:val="24"/>
          <w:szCs w:val="24"/>
          <w:lang w:val="en-US" w:eastAsia="zh-CN" w:bidi="ar-SA"/>
        </w:rPr>
        <w:t xml:space="preserve">    《数字指示秤》</w:t>
      </w:r>
    </w:p>
    <w:p>
      <w:pPr>
        <w:pStyle w:val="2"/>
        <w:rPr>
          <w:rStyle w:val="43"/>
          <w:rFonts w:hint="eastAsia" w:ascii="宋体" w:hAnsi="宋体" w:eastAsia="宋体" w:cs="宋体"/>
          <w:sz w:val="24"/>
          <w:szCs w:val="24"/>
          <w:lang w:val="en-US" w:eastAsia="zh-CN"/>
        </w:rPr>
      </w:pPr>
      <w:r>
        <w:rPr>
          <w:rFonts w:hint="eastAsia" w:ascii="宋体" w:hAnsi="宋体" w:eastAsia="宋体" w:cs="宋体"/>
          <w:b w:val="0"/>
          <w:bCs w:val="0"/>
          <w:kern w:val="0"/>
          <w:sz w:val="24"/>
          <w:szCs w:val="24"/>
          <w:lang w:val="en-US" w:eastAsia="zh-CN" w:bidi="ar-SA"/>
        </w:rPr>
        <w:t>JJG555-1996         《非自动秤通用检定规程》</w:t>
      </w:r>
    </w:p>
    <w:p>
      <w:pPr>
        <w:numPr>
          <w:ilvl w:val="0"/>
          <w:numId w:val="0"/>
        </w:numPr>
        <w:rPr>
          <w:rFonts w:hint="eastAsia" w:ascii="宋体" w:hAnsi="宋体" w:eastAsia="宋体" w:cs="宋体"/>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地磅参数要求：</w:t>
      </w:r>
    </w:p>
    <w:tbl>
      <w:tblPr>
        <w:tblStyle w:val="41"/>
        <w:tblpPr w:leftFromText="180" w:rightFromText="180" w:vertAnchor="text" w:horzAnchor="page" w:tblpX="2244" w:tblpY="5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77"/>
        <w:gridCol w:w="4520"/>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7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     目</w:t>
            </w:r>
          </w:p>
        </w:tc>
        <w:tc>
          <w:tcPr>
            <w:tcW w:w="4520"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参数要求</w:t>
            </w:r>
          </w:p>
        </w:tc>
        <w:tc>
          <w:tcPr>
            <w:tcW w:w="102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6" w:type="dxa"/>
            <w:noWrap w:val="0"/>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1</w:t>
            </w:r>
          </w:p>
        </w:tc>
        <w:tc>
          <w:tcPr>
            <w:tcW w:w="1777" w:type="dxa"/>
            <w:noWrap w:val="0"/>
            <w:vAlign w:val="center"/>
          </w:tcPr>
          <w:p>
            <w:pPr>
              <w:rPr>
                <w:rFonts w:hint="eastAsia" w:ascii="宋体" w:hAnsi="宋体" w:eastAsia="宋体" w:cs="宋体"/>
                <w:sz w:val="24"/>
                <w:szCs w:val="24"/>
              </w:rPr>
            </w:pPr>
            <w:r>
              <w:rPr>
                <w:rFonts w:hint="eastAsia" w:ascii="宋体" w:hAnsi="宋体" w:eastAsia="宋体" w:cs="宋体"/>
                <w:b/>
                <w:bCs/>
                <w:sz w:val="24"/>
                <w:szCs w:val="24"/>
              </w:rPr>
              <w:t>钢结构秤台</w:t>
            </w:r>
          </w:p>
        </w:tc>
        <w:tc>
          <w:tcPr>
            <w:tcW w:w="4520"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最大称量：</w:t>
            </w:r>
            <w:r>
              <w:rPr>
                <w:rFonts w:hint="eastAsia" w:ascii="宋体" w:hAnsi="宋体" w:eastAsia="宋体" w:cs="宋体"/>
                <w:sz w:val="24"/>
                <w:szCs w:val="24"/>
                <w:lang w:val="en-US" w:eastAsia="zh-CN"/>
              </w:rPr>
              <w:t>5</w:t>
            </w:r>
            <w:r>
              <w:rPr>
                <w:rFonts w:hint="eastAsia" w:ascii="宋体" w:hAnsi="宋体" w:eastAsia="宋体" w:cs="宋体"/>
                <w:sz w:val="24"/>
                <w:szCs w:val="24"/>
              </w:rPr>
              <w:t>0t；秤台规格：3m×1</w:t>
            </w:r>
            <w:r>
              <w:rPr>
                <w:rFonts w:hint="eastAsia" w:ascii="宋体" w:hAnsi="宋体" w:eastAsia="宋体" w:cs="宋体"/>
                <w:sz w:val="24"/>
                <w:szCs w:val="24"/>
                <w:lang w:val="en-US"/>
              </w:rPr>
              <w:t>2</w:t>
            </w:r>
            <w:r>
              <w:rPr>
                <w:rFonts w:hint="eastAsia" w:ascii="宋体" w:hAnsi="宋体" w:eastAsia="宋体" w:cs="宋体"/>
                <w:sz w:val="24"/>
                <w:szCs w:val="24"/>
              </w:rPr>
              <w:t xml:space="preserve">m；最大安全过载：150%Max；极限过载：300%Max </w:t>
            </w:r>
            <w:r>
              <w:rPr>
                <w:rFonts w:hint="eastAsia" w:ascii="宋体" w:hAnsi="宋体" w:eastAsia="宋体" w:cs="宋体"/>
                <w:sz w:val="24"/>
                <w:szCs w:val="24"/>
                <w:lang w:eastAsia="zh-CN"/>
              </w:rPr>
              <w:t>；</w:t>
            </w:r>
            <w:r>
              <w:rPr>
                <w:rFonts w:hint="eastAsia" w:ascii="宋体" w:hAnsi="宋体" w:eastAsia="宋体" w:cs="宋体"/>
                <w:sz w:val="24"/>
                <w:szCs w:val="24"/>
              </w:rPr>
              <w:t>基坑结构：地</w:t>
            </w:r>
            <w:r>
              <w:rPr>
                <w:rFonts w:hint="eastAsia" w:ascii="宋体" w:hAnsi="宋体" w:eastAsia="宋体" w:cs="宋体"/>
                <w:sz w:val="24"/>
                <w:szCs w:val="24"/>
                <w:lang w:val="en-US"/>
              </w:rPr>
              <w:t>上</w:t>
            </w:r>
            <w:r>
              <w:rPr>
                <w:rFonts w:hint="eastAsia" w:ascii="宋体" w:hAnsi="宋体" w:eastAsia="宋体" w:cs="宋体"/>
                <w:sz w:val="24"/>
                <w:szCs w:val="24"/>
                <w:lang w:val="en-US" w:eastAsia="zh-CN"/>
              </w:rPr>
              <w:t>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地中衡</w:t>
            </w:r>
            <w:r>
              <w:rPr>
                <w:rFonts w:hint="eastAsia" w:ascii="宋体" w:hAnsi="宋体" w:eastAsia="宋体" w:cs="宋体"/>
                <w:sz w:val="24"/>
                <w:szCs w:val="24"/>
              </w:rPr>
              <w:t>；工作方式：静态称重；秤台精度：OIML Ⅲ</w:t>
            </w:r>
            <w:r>
              <w:rPr>
                <w:rFonts w:hint="eastAsia" w:ascii="宋体" w:hAnsi="宋体" w:eastAsia="宋体" w:cs="宋体"/>
                <w:sz w:val="24"/>
                <w:szCs w:val="24"/>
                <w:lang w:val="en-US" w:eastAsia="zh-CN"/>
              </w:rPr>
              <w:t>级</w:t>
            </w:r>
            <w:r>
              <w:rPr>
                <w:rFonts w:hint="eastAsia" w:ascii="宋体" w:hAnsi="宋体" w:eastAsia="宋体" w:cs="宋体"/>
                <w:sz w:val="24"/>
                <w:szCs w:val="24"/>
              </w:rPr>
              <w:t>；检定分度值：20Kg；显示分度值：10kg</w:t>
            </w:r>
            <w:r>
              <w:rPr>
                <w:rFonts w:hint="eastAsia" w:ascii="宋体" w:hAnsi="宋体" w:eastAsia="宋体" w:cs="宋体"/>
                <w:sz w:val="24"/>
                <w:szCs w:val="24"/>
                <w:lang w:eastAsia="zh-CN"/>
              </w:rPr>
              <w:t>；</w:t>
            </w:r>
            <w:r>
              <w:rPr>
                <w:rFonts w:hint="eastAsia" w:ascii="宋体" w:hAnsi="宋体" w:eastAsia="宋体" w:cs="宋体"/>
                <w:sz w:val="24"/>
                <w:szCs w:val="24"/>
              </w:rPr>
              <w:t>示值响应时间：≤5s；材质：华菱优质钢材Q235</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必须为新钢板，不得使用废弃钢板或翻新钢板</w:t>
            </w:r>
            <w:r>
              <w:rPr>
                <w:rFonts w:hint="eastAsia" w:ascii="宋体" w:hAnsi="宋体" w:eastAsia="宋体" w:cs="宋体"/>
                <w:sz w:val="24"/>
                <w:szCs w:val="24"/>
                <w:lang w:eastAsia="zh-CN"/>
              </w:rPr>
              <w:t>）</w:t>
            </w:r>
            <w:r>
              <w:rPr>
                <w:rFonts w:hint="eastAsia" w:ascii="宋体" w:hAnsi="宋体" w:eastAsia="宋体" w:cs="宋体"/>
                <w:sz w:val="24"/>
                <w:szCs w:val="24"/>
              </w:rPr>
              <w:t>；面板板厚：1</w:t>
            </w:r>
            <w:r>
              <w:rPr>
                <w:rFonts w:hint="eastAsia" w:ascii="宋体" w:hAnsi="宋体" w:eastAsia="宋体" w:cs="宋体"/>
                <w:sz w:val="24"/>
                <w:szCs w:val="24"/>
                <w:lang w:val="en-US"/>
              </w:rPr>
              <w:t>0</w:t>
            </w:r>
            <w:r>
              <w:rPr>
                <w:rFonts w:hint="eastAsia" w:ascii="宋体" w:hAnsi="宋体" w:eastAsia="宋体" w:cs="宋体"/>
                <w:sz w:val="24"/>
                <w:szCs w:val="24"/>
              </w:rPr>
              <w:t xml:space="preserve">mm </w:t>
            </w:r>
            <w:r>
              <w:rPr>
                <w:rFonts w:hint="eastAsia" w:ascii="宋体" w:hAnsi="宋体" w:eastAsia="宋体" w:cs="宋体"/>
                <w:sz w:val="24"/>
                <w:szCs w:val="24"/>
                <w:lang w:eastAsia="zh-CN"/>
              </w:rPr>
              <w:t>；</w:t>
            </w:r>
            <w:r>
              <w:rPr>
                <w:rFonts w:hint="eastAsia" w:ascii="宋体" w:hAnsi="宋体" w:eastAsia="宋体" w:cs="宋体"/>
                <w:sz w:val="24"/>
                <w:szCs w:val="24"/>
              </w:rPr>
              <w:t>U型梁</w:t>
            </w:r>
            <w:r>
              <w:rPr>
                <w:rFonts w:hint="eastAsia" w:ascii="宋体" w:hAnsi="宋体" w:eastAsia="宋体" w:cs="宋体"/>
                <w:sz w:val="24"/>
                <w:szCs w:val="24"/>
                <w:lang w:val="en-US" w:eastAsia="zh-CN"/>
              </w:rPr>
              <w:t>厚度及</w:t>
            </w:r>
            <w:r>
              <w:rPr>
                <w:rFonts w:hint="eastAsia" w:ascii="宋体" w:hAnsi="宋体" w:eastAsia="宋体" w:cs="宋体"/>
                <w:sz w:val="24"/>
                <w:szCs w:val="24"/>
              </w:rPr>
              <w:t>数量：</w:t>
            </w:r>
            <w:r>
              <w:rPr>
                <w:rFonts w:hint="eastAsia" w:ascii="宋体" w:hAnsi="宋体" w:eastAsia="宋体" w:cs="宋体"/>
                <w:sz w:val="24"/>
                <w:szCs w:val="24"/>
                <w:lang w:val="en-US" w:eastAsia="zh-CN"/>
              </w:rPr>
              <w:t>6MM厚，</w:t>
            </w:r>
            <w:r>
              <w:rPr>
                <w:rFonts w:hint="eastAsia" w:ascii="宋体" w:hAnsi="宋体" w:eastAsia="宋体" w:cs="宋体"/>
                <w:sz w:val="24"/>
                <w:szCs w:val="24"/>
              </w:rPr>
              <w:t>6道； 表面处理：两遍底漆(环氧富锌)二遍面漆(丙烯酸聚氨酯漆),干膜厚为200</w:t>
            </w:r>
            <w:r>
              <w:rPr>
                <w:rFonts w:hint="eastAsia" w:ascii="宋体" w:hAnsi="宋体" w:eastAsia="宋体" w:cs="宋体"/>
                <w:sz w:val="24"/>
                <w:szCs w:val="24"/>
              </w:rPr>
              <w:sym w:font="Symbol" w:char="F06D"/>
            </w:r>
            <w:r>
              <w:rPr>
                <w:rFonts w:hint="eastAsia" w:ascii="宋体" w:hAnsi="宋体" w:eastAsia="宋体" w:cs="宋体"/>
                <w:sz w:val="24"/>
                <w:szCs w:val="24"/>
              </w:rPr>
              <w:t>m。</w:t>
            </w:r>
          </w:p>
        </w:tc>
        <w:tc>
          <w:tcPr>
            <w:tcW w:w="102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776" w:type="dxa"/>
            <w:noWrap w:val="0"/>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2</w:t>
            </w:r>
          </w:p>
        </w:tc>
        <w:tc>
          <w:tcPr>
            <w:tcW w:w="1777" w:type="dxa"/>
            <w:noWrap w:val="0"/>
            <w:vAlign w:val="center"/>
          </w:tcPr>
          <w:p>
            <w:pPr>
              <w:pStyle w:val="24"/>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304不锈钢</w:t>
            </w:r>
            <w:r>
              <w:rPr>
                <w:rFonts w:hint="eastAsia" w:ascii="宋体" w:hAnsi="宋体" w:eastAsia="宋体" w:cs="宋体"/>
                <w:b/>
                <w:bCs/>
                <w:sz w:val="24"/>
                <w:szCs w:val="24"/>
              </w:rPr>
              <w:t>数字</w:t>
            </w:r>
            <w:r>
              <w:rPr>
                <w:rFonts w:hint="eastAsia" w:ascii="宋体" w:hAnsi="宋体" w:eastAsia="宋体" w:cs="宋体"/>
                <w:b/>
                <w:bCs/>
                <w:sz w:val="24"/>
                <w:szCs w:val="24"/>
                <w:lang w:val="en-US" w:eastAsia="zh-CN"/>
              </w:rPr>
              <w:t>柱</w:t>
            </w:r>
            <w:r>
              <w:rPr>
                <w:rFonts w:hint="eastAsia" w:ascii="宋体" w:hAnsi="宋体" w:eastAsia="宋体" w:cs="宋体"/>
                <w:b/>
                <w:bCs/>
                <w:sz w:val="24"/>
                <w:szCs w:val="24"/>
              </w:rPr>
              <w:t>式称重传感器</w:t>
            </w:r>
          </w:p>
          <w:p>
            <w:pPr>
              <w:rPr>
                <w:rFonts w:hint="eastAsia" w:ascii="宋体" w:hAnsi="宋体" w:eastAsia="宋体" w:cs="宋体"/>
                <w:sz w:val="24"/>
                <w:szCs w:val="24"/>
              </w:rPr>
            </w:pPr>
            <w:r>
              <w:rPr>
                <w:rFonts w:hint="eastAsia" w:ascii="宋体" w:hAnsi="宋体" w:eastAsia="宋体" w:cs="宋体"/>
                <w:b/>
                <w:bCs/>
                <w:sz w:val="24"/>
                <w:szCs w:val="24"/>
              </w:rPr>
              <w:t>(带配套螺栓及连接件)</w:t>
            </w:r>
          </w:p>
        </w:tc>
        <w:tc>
          <w:tcPr>
            <w:tcW w:w="4520" w:type="dxa"/>
            <w:noWrap w:val="0"/>
            <w:vAlign w:val="center"/>
          </w:tcPr>
          <w:p>
            <w:pPr>
              <w:numPr>
                <w:ilvl w:val="0"/>
                <w:numId w:val="0"/>
              </w:numPr>
              <w:spacing w:line="380" w:lineRule="exact"/>
              <w:ind w:leftChars="0"/>
              <w:rPr>
                <w:rFonts w:hint="eastAsia" w:ascii="宋体" w:hAnsi="宋体" w:eastAsia="宋体" w:cs="宋体"/>
                <w:sz w:val="24"/>
                <w:szCs w:val="24"/>
              </w:rPr>
            </w:pPr>
            <w:r>
              <w:rPr>
                <w:rFonts w:hint="eastAsia" w:ascii="宋体" w:hAnsi="宋体" w:eastAsia="宋体" w:cs="宋体"/>
                <w:sz w:val="24"/>
                <w:szCs w:val="24"/>
              </w:rPr>
              <w:t>可选品牌：</w:t>
            </w:r>
            <w:r>
              <w:rPr>
                <w:rFonts w:hint="eastAsia" w:ascii="宋体" w:hAnsi="宋体" w:eastAsia="宋体" w:cs="宋体"/>
                <w:sz w:val="24"/>
                <w:szCs w:val="24"/>
                <w:lang w:val="en-US" w:eastAsia="zh-CN"/>
              </w:rPr>
              <w:t>中航电测、</w:t>
            </w:r>
            <w:r>
              <w:rPr>
                <w:rFonts w:hint="eastAsia" w:ascii="宋体" w:hAnsi="宋体" w:eastAsia="宋体" w:cs="宋体"/>
                <w:sz w:val="24"/>
                <w:szCs w:val="24"/>
              </w:rPr>
              <w:t>宁波柯力、</w:t>
            </w:r>
            <w:r>
              <w:rPr>
                <w:rFonts w:hint="eastAsia" w:ascii="宋体" w:hAnsi="宋体" w:eastAsia="宋体" w:cs="宋体"/>
                <w:sz w:val="24"/>
                <w:szCs w:val="24"/>
                <w:lang w:val="en-US"/>
              </w:rPr>
              <w:t>济南金钟</w:t>
            </w:r>
            <w:r>
              <w:rPr>
                <w:rFonts w:hint="eastAsia" w:ascii="宋体" w:hAnsi="宋体" w:eastAsia="宋体" w:cs="宋体"/>
                <w:sz w:val="24"/>
                <w:szCs w:val="24"/>
                <w:lang w:val="en-US" w:eastAsia="zh-CN"/>
              </w:rPr>
              <w:t>；</w:t>
            </w:r>
            <w:r>
              <w:rPr>
                <w:rFonts w:hint="eastAsia" w:ascii="宋体" w:hAnsi="宋体" w:eastAsia="宋体" w:cs="宋体"/>
                <w:bCs/>
                <w:sz w:val="24"/>
                <w:szCs w:val="24"/>
                <w:u w:val="single"/>
              </w:rPr>
              <w:t>全密封</w:t>
            </w:r>
            <w:r>
              <w:rPr>
                <w:rFonts w:hint="eastAsia" w:ascii="宋体" w:hAnsi="宋体" w:eastAsia="宋体" w:cs="宋体"/>
                <w:bCs/>
                <w:sz w:val="24"/>
                <w:szCs w:val="24"/>
                <w:u w:val="single"/>
                <w:lang w:val="en-US" w:eastAsia="zh-CN"/>
              </w:rPr>
              <w:t>304不锈钢</w:t>
            </w:r>
            <w:r>
              <w:rPr>
                <w:rFonts w:hint="eastAsia" w:ascii="宋体" w:hAnsi="宋体" w:eastAsia="宋体" w:cs="宋体"/>
                <w:bCs/>
                <w:sz w:val="24"/>
                <w:szCs w:val="24"/>
                <w:u w:val="single"/>
              </w:rPr>
              <w:t>柱式</w:t>
            </w:r>
            <w:r>
              <w:rPr>
                <w:rFonts w:hint="eastAsia" w:ascii="宋体" w:hAnsi="宋体" w:eastAsia="宋体" w:cs="宋体"/>
                <w:bCs/>
                <w:sz w:val="24"/>
                <w:szCs w:val="24"/>
              </w:rPr>
              <w:t>结构，抗偏载和过载能力强</w:t>
            </w:r>
            <w:r>
              <w:rPr>
                <w:rFonts w:hint="eastAsia" w:ascii="宋体" w:hAnsi="宋体" w:eastAsia="宋体" w:cs="宋体"/>
                <w:bCs/>
                <w:sz w:val="24"/>
                <w:szCs w:val="24"/>
                <w:lang w:eastAsia="zh-CN"/>
              </w:rPr>
              <w:t>；</w:t>
            </w:r>
            <w:r>
              <w:rPr>
                <w:rFonts w:hint="eastAsia" w:ascii="宋体" w:hAnsi="宋体" w:eastAsia="宋体" w:cs="宋体"/>
                <w:bCs/>
                <w:sz w:val="24"/>
                <w:szCs w:val="24"/>
              </w:rPr>
              <w:t>激光焊接密封</w:t>
            </w:r>
            <w:r>
              <w:rPr>
                <w:rFonts w:hint="eastAsia" w:ascii="宋体" w:hAnsi="宋体" w:eastAsia="宋体" w:cs="宋体"/>
                <w:sz w:val="24"/>
                <w:szCs w:val="24"/>
              </w:rPr>
              <w:t>精度等级：C3；</w:t>
            </w:r>
            <w:r>
              <w:rPr>
                <w:rFonts w:hint="eastAsia" w:ascii="宋体" w:hAnsi="宋体" w:eastAsia="宋体" w:cs="宋体"/>
                <w:bCs/>
                <w:sz w:val="24"/>
                <w:szCs w:val="24"/>
              </w:rPr>
              <w:t>内置过压保护，动态响应好，防过载能力强。</w:t>
            </w:r>
            <w:r>
              <w:rPr>
                <w:rFonts w:hint="eastAsia" w:ascii="宋体" w:hAnsi="宋体" w:eastAsia="宋体" w:cs="宋体"/>
                <w:sz w:val="24"/>
                <w:szCs w:val="24"/>
              </w:rPr>
              <w:t>温度补偿范围：-30℃—50℃；温度对输出灵敏度的影响：≤±0.011%FS/10℃；防护等级：IP68；蠕变（30分钟）≤0.01%F.S；重复性≤0.01%F.S；额定安全过载：150%F.S；极限过载：200%F.S</w:t>
            </w:r>
          </w:p>
        </w:tc>
        <w:tc>
          <w:tcPr>
            <w:tcW w:w="102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776" w:type="dxa"/>
            <w:noWrap w:val="0"/>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3</w:t>
            </w:r>
          </w:p>
        </w:tc>
        <w:tc>
          <w:tcPr>
            <w:tcW w:w="1777" w:type="dxa"/>
            <w:noWrap w:val="0"/>
            <w:vAlign w:val="center"/>
          </w:tcPr>
          <w:p>
            <w:pPr>
              <w:rPr>
                <w:rFonts w:hint="eastAsia" w:ascii="宋体" w:hAnsi="宋体" w:eastAsia="宋体" w:cs="宋体"/>
                <w:sz w:val="24"/>
                <w:szCs w:val="24"/>
              </w:rPr>
            </w:pPr>
            <w:r>
              <w:rPr>
                <w:rFonts w:hint="eastAsia" w:ascii="宋体" w:hAnsi="宋体" w:eastAsia="宋体" w:cs="宋体"/>
                <w:b/>
                <w:bCs/>
                <w:sz w:val="24"/>
                <w:szCs w:val="24"/>
              </w:rPr>
              <w:t>数字式</w:t>
            </w:r>
            <w:r>
              <w:rPr>
                <w:rFonts w:hint="eastAsia" w:ascii="宋体" w:hAnsi="宋体" w:eastAsia="宋体" w:cs="宋体"/>
                <w:b/>
                <w:bCs/>
                <w:sz w:val="24"/>
                <w:szCs w:val="24"/>
                <w:u w:val="single"/>
                <w:lang w:val="en-US" w:eastAsia="zh-CN"/>
              </w:rPr>
              <w:t>防作弊</w:t>
            </w:r>
            <w:r>
              <w:rPr>
                <w:rFonts w:hint="eastAsia" w:ascii="宋体" w:hAnsi="宋体" w:eastAsia="宋体" w:cs="宋体"/>
                <w:b/>
                <w:bCs/>
                <w:sz w:val="24"/>
                <w:szCs w:val="24"/>
              </w:rPr>
              <w:t>称重显示仪表</w:t>
            </w:r>
          </w:p>
        </w:tc>
        <w:tc>
          <w:tcPr>
            <w:tcW w:w="4520" w:type="dxa"/>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具有防作弊、防干扰系统；数据上传，手机实时观测数据，并与公司信息化系统协同。数据传输支持标准的串口协议RS232和RS485</w:t>
            </w:r>
            <w:r>
              <w:rPr>
                <w:rFonts w:hint="eastAsia" w:ascii="宋体" w:hAnsi="宋体" w:eastAsia="宋体" w:cs="宋体"/>
                <w:sz w:val="24"/>
                <w:szCs w:val="24"/>
                <w:lang w:eastAsia="zh-CN"/>
              </w:rPr>
              <w:t>；支持多种</w:t>
            </w:r>
            <w:r>
              <w:rPr>
                <w:rFonts w:hint="eastAsia" w:ascii="宋体" w:hAnsi="宋体" w:eastAsia="宋体" w:cs="宋体"/>
                <w:sz w:val="24"/>
                <w:szCs w:val="24"/>
                <w:lang w:val="en-US" w:eastAsia="zh-CN"/>
              </w:rPr>
              <w:t xml:space="preserve">通迅方式：波特率1200/2400/4800/9600可调；         </w:t>
            </w:r>
          </w:p>
        </w:tc>
        <w:tc>
          <w:tcPr>
            <w:tcW w:w="102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6" w:type="dxa"/>
            <w:noWrap w:val="0"/>
            <w:vAlign w:val="center"/>
          </w:tcPr>
          <w:p>
            <w:pPr>
              <w:jc w:val="center"/>
              <w:rPr>
                <w:rFonts w:hint="eastAsia" w:ascii="宋体" w:hAnsi="宋体" w:eastAsia="宋体" w:cs="宋体"/>
                <w:sz w:val="24"/>
                <w:szCs w:val="24"/>
              </w:rPr>
            </w:pPr>
            <w:r>
              <w:rPr>
                <w:rFonts w:hint="eastAsia" w:ascii="宋体" w:hAnsi="宋体" w:eastAsia="宋体" w:cs="宋体"/>
                <w:b/>
                <w:bCs/>
                <w:sz w:val="24"/>
                <w:szCs w:val="24"/>
              </w:rPr>
              <w:t>4</w:t>
            </w:r>
          </w:p>
        </w:tc>
        <w:tc>
          <w:tcPr>
            <w:tcW w:w="1777"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b/>
                <w:bCs/>
                <w:sz w:val="24"/>
                <w:szCs w:val="24"/>
                <w:u w:val="single"/>
                <w:lang w:val="en-US" w:eastAsia="zh-CN"/>
              </w:rPr>
              <w:t>地磅及系统要求</w:t>
            </w:r>
          </w:p>
        </w:tc>
        <w:tc>
          <w:tcPr>
            <w:tcW w:w="4520" w:type="dxa"/>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A、</w:t>
            </w:r>
            <w:r>
              <w:rPr>
                <w:rFonts w:hint="eastAsia" w:ascii="宋体" w:hAnsi="宋体" w:eastAsia="宋体" w:cs="宋体"/>
                <w:sz w:val="24"/>
                <w:szCs w:val="24"/>
                <w:lang w:eastAsia="zh-CN"/>
              </w:rPr>
              <w:t>地磅数据传输支持标准的串口协议RS232和RS485，至少配置一个RS２３２和一个RS 485，串口可调，协议、数据开放，能够实现与新五丰金蝶ERP系统、海康视频摄像头对接。</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B、必须满足通用物联网协议MQTT/MQTTS/OPCUA协议，或满足通过网关等设备转换后满足通用物联网协议MQTT/MQTTS/OPCUA协议，以保证地磅与华为、阿里等主流IOT平台的接入。</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C、重量数据传输正确并且稳定，数据波动小，重量数据传输的起始位，终止位清晰可辨别。</w:t>
            </w:r>
          </w:p>
        </w:tc>
        <w:tc>
          <w:tcPr>
            <w:tcW w:w="102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6" w:type="dxa"/>
            <w:noWrap w:val="0"/>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p>
        </w:tc>
        <w:tc>
          <w:tcPr>
            <w:tcW w:w="1777"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rPr>
              <w:t>不锈钢数字式</w:t>
            </w:r>
            <w:r>
              <w:rPr>
                <w:rFonts w:hint="eastAsia" w:ascii="宋体" w:hAnsi="宋体" w:eastAsia="宋体" w:cs="宋体"/>
                <w:b/>
                <w:bCs/>
                <w:sz w:val="24"/>
                <w:szCs w:val="24"/>
                <w:lang w:val="en-US" w:eastAsia="zh-CN"/>
              </w:rPr>
              <w:t>信号</w:t>
            </w:r>
            <w:r>
              <w:rPr>
                <w:rFonts w:hint="eastAsia" w:ascii="宋体" w:hAnsi="宋体" w:eastAsia="宋体" w:cs="宋体"/>
                <w:b/>
                <w:bCs/>
                <w:sz w:val="24"/>
                <w:szCs w:val="24"/>
              </w:rPr>
              <w:t>接线盒</w:t>
            </w:r>
          </w:p>
        </w:tc>
        <w:tc>
          <w:tcPr>
            <w:tcW w:w="4520" w:type="dxa"/>
            <w:noWrap w:val="0"/>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kern w:val="1"/>
                <w:sz w:val="24"/>
                <w:szCs w:val="24"/>
              </w:rPr>
              <w:t xml:space="preserve">防浪涌 </w:t>
            </w:r>
            <w:r>
              <w:rPr>
                <w:rFonts w:hint="eastAsia" w:ascii="宋体" w:hAnsi="宋体" w:eastAsia="宋体" w:cs="宋体"/>
                <w:kern w:val="1"/>
                <w:sz w:val="24"/>
                <w:szCs w:val="24"/>
                <w:lang w:eastAsia="zh-CN"/>
              </w:rPr>
              <w:t>、</w:t>
            </w:r>
            <w:r>
              <w:rPr>
                <w:rFonts w:hint="eastAsia" w:ascii="宋体" w:hAnsi="宋体" w:eastAsia="宋体" w:cs="宋体"/>
                <w:kern w:val="1"/>
                <w:sz w:val="24"/>
                <w:szCs w:val="24"/>
              </w:rPr>
              <w:t>不锈钢制作，防水，防锈</w:t>
            </w:r>
            <w:r>
              <w:rPr>
                <w:rFonts w:hint="eastAsia" w:ascii="宋体" w:hAnsi="宋体" w:eastAsia="宋体" w:cs="宋体"/>
                <w:kern w:val="1"/>
                <w:sz w:val="24"/>
                <w:szCs w:val="24"/>
                <w:lang w:eastAsia="zh-CN"/>
              </w:rPr>
              <w:t>。</w:t>
            </w:r>
          </w:p>
        </w:tc>
        <w:tc>
          <w:tcPr>
            <w:tcW w:w="102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6" w:type="dxa"/>
            <w:noWrap w:val="0"/>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6、</w:t>
            </w:r>
          </w:p>
        </w:tc>
        <w:tc>
          <w:tcPr>
            <w:tcW w:w="1777" w:type="dxa"/>
            <w:noWrap w:val="0"/>
            <w:vAlign w:val="center"/>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服务要求</w:t>
            </w:r>
          </w:p>
        </w:tc>
        <w:tc>
          <w:tcPr>
            <w:tcW w:w="4520" w:type="dxa"/>
            <w:noWrap w:val="0"/>
            <w:vAlign w:val="center"/>
          </w:tcPr>
          <w:p>
            <w:pPr>
              <w:pStyle w:val="40"/>
              <w:keepNext w:val="0"/>
              <w:keepLines w:val="0"/>
              <w:pageBreakBefore w:val="0"/>
              <w:widowControl/>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kern w:val="1"/>
                <w:sz w:val="24"/>
                <w:szCs w:val="24"/>
              </w:rPr>
            </w:pPr>
            <w:r>
              <w:rPr>
                <w:rFonts w:hint="eastAsia" w:cs="宋体"/>
                <w:b w:val="0"/>
                <w:bCs w:val="0"/>
                <w:sz w:val="24"/>
                <w:szCs w:val="24"/>
                <w:lang w:val="en-US" w:eastAsia="zh-CN"/>
              </w:rPr>
              <w:t>售后相应时间不超12小时。质保期外需维修的，易损配件按出厂价提供，服务费500元/人/天。</w:t>
            </w:r>
          </w:p>
        </w:tc>
        <w:tc>
          <w:tcPr>
            <w:tcW w:w="1023" w:type="dxa"/>
            <w:noWrap w:val="0"/>
            <w:vAlign w:val="center"/>
          </w:tcPr>
          <w:p>
            <w:pPr>
              <w:rPr>
                <w:rFonts w:hint="eastAsia" w:ascii="宋体" w:hAnsi="宋体" w:eastAsia="宋体" w:cs="宋体"/>
                <w:sz w:val="24"/>
                <w:szCs w:val="24"/>
              </w:rPr>
            </w:pPr>
          </w:p>
        </w:tc>
      </w:tr>
    </w:tbl>
    <w:p>
      <w:pPr>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bCs/>
          <w:sz w:val="24"/>
          <w:szCs w:val="24"/>
          <w:lang w:val="en-US" w:eastAsia="zh-CN"/>
        </w:rPr>
        <w:t>交货时间</w:t>
      </w:r>
      <w:r>
        <w:rPr>
          <w:rFonts w:hint="eastAsia" w:ascii="宋体" w:hAnsi="宋体" w:eastAsia="宋体" w:cs="宋体"/>
          <w:b/>
          <w:bCs/>
          <w:sz w:val="24"/>
          <w:szCs w:val="24"/>
        </w:rPr>
        <w:t>：</w:t>
      </w:r>
      <w:r>
        <w:rPr>
          <w:rFonts w:hint="eastAsia" w:ascii="宋体" w:hAnsi="宋体" w:eastAsia="宋体" w:cs="宋体"/>
          <w:b/>
          <w:bCs w:val="0"/>
          <w:sz w:val="24"/>
          <w:szCs w:val="24"/>
          <w:u w:val="single"/>
        </w:rPr>
        <w:t>需方基础完工后，</w:t>
      </w:r>
      <w:r>
        <w:rPr>
          <w:rFonts w:hint="eastAsia" w:ascii="宋体" w:hAnsi="宋体" w:eastAsia="宋体" w:cs="宋体"/>
          <w:b/>
          <w:bCs w:val="0"/>
          <w:sz w:val="24"/>
          <w:szCs w:val="24"/>
          <w:u w:val="single"/>
          <w:lang w:val="en-US" w:eastAsia="zh-CN"/>
        </w:rPr>
        <w:t>十个自然日</w:t>
      </w:r>
      <w:r>
        <w:rPr>
          <w:rFonts w:hint="eastAsia" w:ascii="宋体" w:hAnsi="宋体" w:eastAsia="宋体" w:cs="宋体"/>
          <w:b/>
          <w:bCs w:val="0"/>
          <w:sz w:val="24"/>
          <w:szCs w:val="24"/>
          <w:u w:val="single"/>
        </w:rPr>
        <w:t>内送货到现场安装</w:t>
      </w:r>
      <w:r>
        <w:rPr>
          <w:rFonts w:hint="eastAsia" w:ascii="宋体" w:hAnsi="宋体" w:eastAsia="宋体" w:cs="宋体"/>
          <w:b/>
          <w:bCs w:val="0"/>
          <w:sz w:val="24"/>
          <w:szCs w:val="24"/>
          <w:u w:val="single"/>
          <w:lang w:eastAsia="zh-CN"/>
        </w:rPr>
        <w:t>。</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bCs/>
          <w:sz w:val="24"/>
          <w:szCs w:val="24"/>
        </w:rPr>
        <w:t>付款方式：</w:t>
      </w:r>
      <w:r>
        <w:rPr>
          <w:rFonts w:hint="eastAsia" w:ascii="宋体" w:hAnsi="宋体" w:eastAsia="宋体" w:cs="宋体"/>
          <w:sz w:val="24"/>
          <w:szCs w:val="24"/>
        </w:rPr>
        <w:t>按谈判邀请人与中标人签订的合同为准。</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bCs/>
          <w:sz w:val="24"/>
          <w:szCs w:val="24"/>
        </w:rPr>
        <w:t>结算</w:t>
      </w:r>
      <w:r>
        <w:rPr>
          <w:rFonts w:hint="eastAsia" w:ascii="宋体" w:hAnsi="宋体" w:eastAsia="宋体" w:cs="宋体"/>
          <w:sz w:val="24"/>
          <w:szCs w:val="24"/>
        </w:rPr>
        <w:t>：</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结算：</w:t>
      </w:r>
      <w:r>
        <w:rPr>
          <w:rFonts w:hint="eastAsia" w:ascii="宋体" w:hAnsi="宋体" w:eastAsia="宋体" w:cs="宋体"/>
          <w:sz w:val="24"/>
          <w:szCs w:val="24"/>
          <w:lang w:val="en-US" w:eastAsia="zh-CN"/>
        </w:rPr>
        <w:t>产品安装交付调试后</w:t>
      </w:r>
      <w:r>
        <w:rPr>
          <w:rFonts w:hint="eastAsia" w:ascii="宋体" w:hAnsi="宋体" w:eastAsia="宋体" w:cs="宋体"/>
          <w:sz w:val="24"/>
          <w:szCs w:val="24"/>
        </w:rPr>
        <w:t>，成交供应商应积极配合，采购人在</w:t>
      </w:r>
      <w:r>
        <w:rPr>
          <w:rFonts w:hint="eastAsia" w:ascii="宋体" w:hAnsi="宋体" w:eastAsia="宋体" w:cs="宋体"/>
          <w:sz w:val="24"/>
          <w:szCs w:val="24"/>
          <w:lang w:val="en-US" w:eastAsia="zh-CN"/>
        </w:rPr>
        <w:t>3</w:t>
      </w:r>
      <w:r>
        <w:rPr>
          <w:rFonts w:hint="eastAsia" w:ascii="宋体" w:hAnsi="宋体" w:eastAsia="宋体" w:cs="宋体"/>
          <w:sz w:val="24"/>
          <w:szCs w:val="24"/>
        </w:rPr>
        <w:t>个</w:t>
      </w:r>
      <w:r>
        <w:rPr>
          <w:rFonts w:hint="eastAsia" w:ascii="宋体" w:hAnsi="宋体" w:eastAsia="宋体" w:cs="宋体"/>
          <w:sz w:val="24"/>
          <w:szCs w:val="24"/>
          <w:lang w:val="en-US" w:eastAsia="zh-CN"/>
        </w:rPr>
        <w:t>工作日</w:t>
      </w:r>
      <w:r>
        <w:rPr>
          <w:rFonts w:hint="eastAsia" w:ascii="宋体" w:hAnsi="宋体" w:eastAsia="宋体" w:cs="宋体"/>
          <w:sz w:val="24"/>
          <w:szCs w:val="24"/>
        </w:rPr>
        <w:t>内审核认可，</w:t>
      </w:r>
      <w:r>
        <w:rPr>
          <w:rFonts w:hint="eastAsia" w:ascii="宋体" w:hAnsi="宋体" w:eastAsia="宋体" w:cs="宋体"/>
          <w:sz w:val="24"/>
          <w:szCs w:val="24"/>
          <w:lang w:val="en-US" w:eastAsia="zh-CN"/>
        </w:rPr>
        <w:t>预留5%质保金，待12个月后无质量问题结</w:t>
      </w:r>
      <w:r>
        <w:rPr>
          <w:rFonts w:hint="eastAsia" w:ascii="宋体" w:hAnsi="宋体" w:eastAsia="宋体" w:cs="宋体"/>
          <w:sz w:val="24"/>
          <w:szCs w:val="24"/>
        </w:rPr>
        <w:t>算</w:t>
      </w:r>
      <w:r>
        <w:rPr>
          <w:rFonts w:hint="eastAsia" w:ascii="宋体" w:hAnsi="宋体" w:eastAsia="宋体" w:cs="宋体"/>
          <w:sz w:val="24"/>
          <w:szCs w:val="24"/>
          <w:lang w:val="en-US" w:eastAsia="zh-CN"/>
        </w:rPr>
        <w:t>尾款</w:t>
      </w:r>
      <w:r>
        <w:rPr>
          <w:rFonts w:hint="eastAsia" w:ascii="宋体" w:hAnsi="宋体" w:eastAsia="宋体" w:cs="宋体"/>
          <w:sz w:val="24"/>
          <w:szCs w:val="24"/>
        </w:rPr>
        <w:t>：本项目无预付款，结算方式详见合同条款。</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b/>
          <w:bCs/>
          <w:sz w:val="24"/>
          <w:szCs w:val="24"/>
        </w:rPr>
        <w:t>验收标准和方法：</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验收由采购单位组织有关专业人员，按相关谈判邀请文件技术要求提供的性能指标、国家及行业相关标准进行验收。如验收不合格，采购人可拒收签收，整改后复检，如仍不合格，采购人可终止合同，损失由成交供应商承担。</w:t>
      </w:r>
    </w:p>
    <w:p>
      <w:pPr>
        <w:pStyle w:val="82"/>
        <w:spacing w:line="360" w:lineRule="auto"/>
        <w:ind w:firstLine="0" w:firstLineChars="0"/>
        <w:rPr>
          <w:rFonts w:hint="eastAsia" w:ascii="宋体" w:hAnsi="宋体" w:eastAsia="宋体" w:cs="宋体"/>
          <w:b/>
          <w:bCs/>
          <w:sz w:val="24"/>
          <w:szCs w:val="24"/>
        </w:rPr>
      </w:pPr>
      <w:r>
        <w:rPr>
          <w:rFonts w:hint="eastAsia" w:ascii="宋体" w:hAnsi="宋体" w:eastAsia="宋体" w:cs="宋体"/>
          <w:sz w:val="24"/>
          <w:szCs w:val="24"/>
        </w:rPr>
        <w:t>四、</w:t>
      </w:r>
      <w:r>
        <w:rPr>
          <w:rFonts w:hint="eastAsia" w:ascii="宋体" w:hAnsi="宋体" w:eastAsia="宋体" w:cs="宋体"/>
          <w:b/>
          <w:bCs/>
          <w:sz w:val="24"/>
          <w:szCs w:val="24"/>
        </w:rPr>
        <w:t>谈判报价说明</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bCs/>
          <w:sz w:val="24"/>
          <w:szCs w:val="24"/>
        </w:rPr>
        <w:t>本</w:t>
      </w:r>
      <w:r>
        <w:rPr>
          <w:rFonts w:hint="eastAsia" w:ascii="宋体" w:hAnsi="宋体" w:eastAsia="宋体" w:cs="宋体"/>
          <w:b/>
          <w:bCs/>
          <w:sz w:val="24"/>
          <w:szCs w:val="24"/>
          <w:lang w:val="en-US" w:eastAsia="zh-CN"/>
        </w:rPr>
        <w:t>采购项目</w:t>
      </w:r>
      <w:r>
        <w:rPr>
          <w:rFonts w:hint="eastAsia" w:ascii="宋体" w:hAnsi="宋体" w:eastAsia="宋体" w:cs="宋体"/>
          <w:b/>
          <w:bCs/>
          <w:sz w:val="24"/>
          <w:szCs w:val="24"/>
        </w:rPr>
        <w:t>的</w:t>
      </w:r>
      <w:r>
        <w:rPr>
          <w:rFonts w:hint="eastAsia" w:ascii="宋体" w:hAnsi="宋体" w:eastAsia="宋体" w:cs="宋体"/>
          <w:b/>
          <w:bCs/>
          <w:sz w:val="24"/>
          <w:szCs w:val="24"/>
          <w:lang w:val="en-US" w:eastAsia="zh-CN"/>
        </w:rPr>
        <w:t>最高控制价为45000元/台（含税含安装含运费）</w:t>
      </w:r>
      <w:r>
        <w:rPr>
          <w:rFonts w:hint="eastAsia" w:ascii="宋体" w:hAnsi="宋体" w:eastAsia="宋体" w:cs="宋体"/>
          <w:sz w:val="24"/>
          <w:szCs w:val="24"/>
        </w:rPr>
        <w:t>。</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2、主要材料参照市场行情和本企业技术、经济、管理等综合实力，在保证</w:t>
      </w:r>
      <w:r>
        <w:rPr>
          <w:rFonts w:hint="eastAsia" w:ascii="宋体" w:hAnsi="宋体" w:eastAsia="宋体" w:cs="宋体"/>
          <w:sz w:val="24"/>
          <w:szCs w:val="24"/>
          <w:lang w:val="en-US" w:eastAsia="zh-CN"/>
        </w:rPr>
        <w:t>材质</w:t>
      </w:r>
      <w:r>
        <w:rPr>
          <w:rFonts w:hint="eastAsia" w:ascii="宋体" w:hAnsi="宋体" w:eastAsia="宋体" w:cs="宋体"/>
          <w:sz w:val="24"/>
          <w:szCs w:val="24"/>
        </w:rPr>
        <w:t>质量的前提下，以保本微利为原则自主报价，但不能低于企业成本价。</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3、供应商的谈判报价应是完成</w:t>
      </w:r>
      <w:r>
        <w:rPr>
          <w:rFonts w:hint="eastAsia" w:ascii="宋体" w:hAnsi="宋体" w:eastAsia="宋体" w:cs="宋体"/>
          <w:sz w:val="24"/>
          <w:szCs w:val="24"/>
          <w:lang w:val="en-US" w:eastAsia="zh-CN"/>
        </w:rPr>
        <w:t>交付</w:t>
      </w:r>
      <w:r>
        <w:rPr>
          <w:rFonts w:hint="eastAsia" w:ascii="宋体" w:hAnsi="宋体" w:eastAsia="宋体" w:cs="宋体"/>
          <w:sz w:val="24"/>
          <w:szCs w:val="24"/>
        </w:rPr>
        <w:t>的全部，不得以任何理由予以重复。</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地磅使</w:t>
      </w:r>
      <w:r>
        <w:rPr>
          <w:rFonts w:hint="eastAsia" w:ascii="宋体" w:hAnsi="宋体" w:eastAsia="宋体" w:cs="宋体"/>
          <w:sz w:val="24"/>
          <w:szCs w:val="24"/>
        </w:rPr>
        <w:t>用材料必须符合设计要求、国家现行材料技术规范和标准以及采购人对有关材料的品牌要求，且应有产品合格证、出厂证明书、合法质监部门检验合格证，并经采购人现场代表确认合格后，方可用于</w:t>
      </w:r>
      <w:r>
        <w:rPr>
          <w:rFonts w:hint="eastAsia" w:ascii="宋体" w:hAnsi="宋体" w:eastAsia="宋体" w:cs="宋体"/>
          <w:sz w:val="24"/>
          <w:szCs w:val="24"/>
          <w:lang w:val="en-US" w:eastAsia="zh-CN"/>
        </w:rPr>
        <w:t>本采购项目</w:t>
      </w:r>
      <w:r>
        <w:rPr>
          <w:rFonts w:hint="eastAsia" w:ascii="宋体" w:hAnsi="宋体" w:eastAsia="宋体" w:cs="宋体"/>
          <w:sz w:val="24"/>
          <w:szCs w:val="24"/>
        </w:rPr>
        <w:t xml:space="preserve">上。 </w:t>
      </w:r>
    </w:p>
    <w:bookmarkEnd w:id="20"/>
    <w:bookmarkEnd w:id="21"/>
    <w:bookmarkEnd w:id="22"/>
    <w:bookmarkEnd w:id="23"/>
    <w:bookmarkEnd w:id="24"/>
    <w:p>
      <w:pPr>
        <w:pStyle w:val="82"/>
        <w:spacing w:line="360" w:lineRule="auto"/>
        <w:ind w:firstLine="480"/>
        <w:rPr>
          <w:rFonts w:hint="eastAsia" w:ascii="宋体" w:hAnsi="宋体" w:eastAsia="宋体" w:cs="宋体"/>
          <w:sz w:val="24"/>
          <w:szCs w:val="24"/>
        </w:rPr>
      </w:pPr>
    </w:p>
    <w:p>
      <w:pPr>
        <w:pStyle w:val="7"/>
        <w:spacing w:line="560" w:lineRule="exact"/>
        <w:jc w:val="center"/>
        <w:rPr>
          <w:rFonts w:hint="eastAsia" w:ascii="宋体" w:hAnsi="宋体" w:eastAsia="宋体" w:cs="宋体"/>
          <w:sz w:val="24"/>
          <w:szCs w:val="24"/>
        </w:rPr>
      </w:pPr>
      <w:r>
        <w:rPr>
          <w:rFonts w:hint="eastAsia" w:ascii="宋体" w:hAnsi="宋体" w:eastAsia="宋体" w:cs="宋体"/>
          <w:sz w:val="24"/>
          <w:szCs w:val="24"/>
        </w:rPr>
        <w:t>第四章  合同条款及格式</w:t>
      </w:r>
    </w:p>
    <w:p>
      <w:pPr>
        <w:pStyle w:val="27"/>
        <w:widowControl/>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依照《中华人民共和国民法典》、及其他有关法律、行政法规，遵循平等、自愿、公平和诚实信用的原则，双方就湖南新五丰股份有限公司</w:t>
      </w:r>
      <w:r>
        <w:rPr>
          <w:rFonts w:hint="eastAsia" w:ascii="宋体" w:hAnsi="宋体" w:eastAsia="宋体" w:cs="宋体"/>
          <w:sz w:val="24"/>
          <w:szCs w:val="24"/>
          <w:lang w:val="en-US" w:eastAsia="zh-CN"/>
        </w:rPr>
        <w:t>地磅采购项目签订此合同</w:t>
      </w:r>
    </w:p>
    <w:p>
      <w:pPr>
        <w:widowControl/>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一、合同双方</w:t>
      </w:r>
    </w:p>
    <w:p>
      <w:pPr>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甲方：</w:t>
      </w:r>
      <w:r>
        <w:rPr>
          <w:rFonts w:hint="eastAsia" w:ascii="宋体" w:hAnsi="宋体" w:eastAsia="宋体" w:cs="宋体"/>
          <w:sz w:val="24"/>
          <w:szCs w:val="24"/>
          <w:u w:val="single"/>
        </w:rPr>
        <w:t>湖南新五丰股份有限公司</w:t>
      </w:r>
    </w:p>
    <w:p>
      <w:pPr>
        <w:pStyle w:val="27"/>
        <w:widowControl/>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8"/>
        <w:tabs>
          <w:tab w:val="left" w:pos="2688"/>
        </w:tabs>
        <w:spacing w:line="600" w:lineRule="exact"/>
        <w:rPr>
          <w:rFonts w:hint="eastAsia" w:ascii="宋体" w:hAnsi="宋体" w:eastAsia="宋体" w:cs="宋体"/>
          <w:b/>
          <w:sz w:val="24"/>
          <w:szCs w:val="24"/>
        </w:rPr>
      </w:pPr>
      <w:r>
        <w:rPr>
          <w:rFonts w:hint="eastAsia" w:ascii="宋体" w:hAnsi="宋体" w:eastAsia="宋体" w:cs="宋体"/>
          <w:b/>
          <w:bCs/>
          <w:sz w:val="24"/>
          <w:szCs w:val="24"/>
        </w:rPr>
        <w:t>二、</w:t>
      </w:r>
      <w:r>
        <w:rPr>
          <w:rFonts w:hint="eastAsia" w:ascii="宋体" w:hAnsi="宋体" w:eastAsia="宋体" w:cs="宋体"/>
          <w:b/>
          <w:sz w:val="24"/>
          <w:szCs w:val="24"/>
        </w:rPr>
        <w:t>产品名称、规格、数量、金额： 签订时间：  20</w:t>
      </w:r>
      <w:r>
        <w:rPr>
          <w:rFonts w:hint="eastAsia" w:ascii="宋体" w:hAnsi="宋体" w:eastAsia="宋体" w:cs="宋体"/>
          <w:b/>
          <w:sz w:val="24"/>
          <w:szCs w:val="24"/>
          <w:lang w:val="en-US" w:eastAsia="zh-CN"/>
        </w:rPr>
        <w:t>23</w:t>
      </w:r>
      <w:r>
        <w:rPr>
          <w:rFonts w:hint="eastAsia" w:ascii="宋体" w:hAnsi="宋体" w:eastAsia="宋体" w:cs="宋体"/>
          <w:b/>
          <w:sz w:val="24"/>
          <w:szCs w:val="24"/>
        </w:rPr>
        <w:t xml:space="preserve"> 年 </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 xml:space="preserve"> 月 </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 xml:space="preserve"> 日</w:t>
      </w:r>
    </w:p>
    <w:tbl>
      <w:tblPr>
        <w:tblStyle w:val="41"/>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28"/>
        <w:gridCol w:w="1276"/>
        <w:gridCol w:w="851"/>
        <w:gridCol w:w="992"/>
        <w:gridCol w:w="1134"/>
        <w:gridCol w:w="1276"/>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48"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产品名称</w:t>
            </w:r>
          </w:p>
        </w:tc>
        <w:tc>
          <w:tcPr>
            <w:tcW w:w="828"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规格</w:t>
            </w:r>
          </w:p>
        </w:tc>
        <w:tc>
          <w:tcPr>
            <w:tcW w:w="1276"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型号</w:t>
            </w:r>
          </w:p>
        </w:tc>
        <w:tc>
          <w:tcPr>
            <w:tcW w:w="851"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单位</w:t>
            </w:r>
          </w:p>
        </w:tc>
        <w:tc>
          <w:tcPr>
            <w:tcW w:w="992"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134"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单价</w:t>
            </w:r>
          </w:p>
        </w:tc>
        <w:tc>
          <w:tcPr>
            <w:tcW w:w="1276"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总金额</w:t>
            </w:r>
          </w:p>
        </w:tc>
        <w:tc>
          <w:tcPr>
            <w:tcW w:w="1513" w:type="dxa"/>
            <w:vAlign w:val="center"/>
          </w:tcPr>
          <w:p>
            <w:pPr>
              <w:pStyle w:val="38"/>
              <w:tabs>
                <w:tab w:val="left" w:pos="2688"/>
              </w:tabs>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pStyle w:val="38"/>
              <w:tabs>
                <w:tab w:val="left" w:pos="2688"/>
              </w:tabs>
              <w:spacing w:line="600" w:lineRule="exact"/>
              <w:jc w:val="center"/>
              <w:rPr>
                <w:rFonts w:hint="eastAsia" w:ascii="宋体" w:hAnsi="宋体" w:eastAsia="宋体" w:cs="宋体"/>
                <w:b/>
                <w:sz w:val="24"/>
                <w:szCs w:val="24"/>
              </w:rPr>
            </w:pPr>
          </w:p>
        </w:tc>
        <w:tc>
          <w:tcPr>
            <w:tcW w:w="828" w:type="dxa"/>
            <w:vAlign w:val="center"/>
          </w:tcPr>
          <w:p>
            <w:pPr>
              <w:pStyle w:val="38"/>
              <w:tabs>
                <w:tab w:val="left" w:pos="2688"/>
              </w:tabs>
              <w:spacing w:line="600" w:lineRule="exact"/>
              <w:jc w:val="center"/>
              <w:rPr>
                <w:rFonts w:hint="eastAsia" w:ascii="宋体" w:hAnsi="宋体" w:eastAsia="宋体" w:cs="宋体"/>
                <w:b/>
                <w:sz w:val="24"/>
                <w:szCs w:val="24"/>
                <w:lang w:val="en-US" w:eastAsia="zh-CN"/>
              </w:rPr>
            </w:pPr>
          </w:p>
        </w:tc>
        <w:tc>
          <w:tcPr>
            <w:tcW w:w="1276" w:type="dxa"/>
            <w:vAlign w:val="center"/>
          </w:tcPr>
          <w:p>
            <w:pPr>
              <w:pStyle w:val="38"/>
              <w:tabs>
                <w:tab w:val="left" w:pos="2688"/>
              </w:tabs>
              <w:spacing w:line="600" w:lineRule="exact"/>
              <w:jc w:val="center"/>
              <w:rPr>
                <w:rFonts w:hint="eastAsia" w:ascii="宋体" w:hAnsi="宋体" w:eastAsia="宋体" w:cs="宋体"/>
                <w:b/>
                <w:sz w:val="24"/>
                <w:szCs w:val="24"/>
                <w:lang w:val="en-US" w:eastAsia="zh-CN"/>
              </w:rPr>
            </w:pPr>
          </w:p>
        </w:tc>
        <w:tc>
          <w:tcPr>
            <w:tcW w:w="851" w:type="dxa"/>
            <w:vAlign w:val="center"/>
          </w:tcPr>
          <w:p>
            <w:pPr>
              <w:pStyle w:val="38"/>
              <w:tabs>
                <w:tab w:val="left" w:pos="2688"/>
              </w:tabs>
              <w:spacing w:line="600" w:lineRule="exact"/>
              <w:jc w:val="center"/>
              <w:rPr>
                <w:rFonts w:hint="eastAsia" w:ascii="宋体" w:hAnsi="宋体" w:eastAsia="宋体" w:cs="宋体"/>
                <w:b/>
                <w:sz w:val="24"/>
                <w:szCs w:val="24"/>
              </w:rPr>
            </w:pPr>
          </w:p>
        </w:tc>
        <w:tc>
          <w:tcPr>
            <w:tcW w:w="992" w:type="dxa"/>
            <w:vAlign w:val="center"/>
          </w:tcPr>
          <w:p>
            <w:pPr>
              <w:pStyle w:val="38"/>
              <w:tabs>
                <w:tab w:val="left" w:pos="2688"/>
              </w:tabs>
              <w:spacing w:line="600" w:lineRule="exact"/>
              <w:jc w:val="center"/>
              <w:rPr>
                <w:rFonts w:hint="eastAsia" w:ascii="宋体" w:hAnsi="宋体" w:eastAsia="宋体" w:cs="宋体"/>
                <w:b/>
                <w:sz w:val="24"/>
                <w:szCs w:val="24"/>
              </w:rPr>
            </w:pPr>
          </w:p>
        </w:tc>
        <w:tc>
          <w:tcPr>
            <w:tcW w:w="1134" w:type="dxa"/>
            <w:vAlign w:val="center"/>
          </w:tcPr>
          <w:p>
            <w:pPr>
              <w:pStyle w:val="38"/>
              <w:tabs>
                <w:tab w:val="left" w:pos="2688"/>
              </w:tabs>
              <w:spacing w:line="600" w:lineRule="exact"/>
              <w:jc w:val="center"/>
              <w:rPr>
                <w:rFonts w:hint="eastAsia" w:ascii="宋体" w:hAnsi="宋体" w:eastAsia="宋体" w:cs="宋体"/>
                <w:b/>
                <w:sz w:val="24"/>
                <w:szCs w:val="24"/>
                <w:lang w:val="en-US" w:eastAsia="zh-CN"/>
              </w:rPr>
            </w:pPr>
          </w:p>
        </w:tc>
        <w:tc>
          <w:tcPr>
            <w:tcW w:w="1276" w:type="dxa"/>
            <w:vAlign w:val="center"/>
          </w:tcPr>
          <w:p>
            <w:pPr>
              <w:pStyle w:val="38"/>
              <w:tabs>
                <w:tab w:val="left" w:pos="2688"/>
              </w:tabs>
              <w:spacing w:line="600" w:lineRule="exact"/>
              <w:jc w:val="center"/>
              <w:rPr>
                <w:rFonts w:hint="eastAsia" w:ascii="宋体" w:hAnsi="宋体" w:eastAsia="宋体" w:cs="宋体"/>
                <w:b/>
                <w:sz w:val="24"/>
                <w:szCs w:val="24"/>
                <w:lang w:val="en-US" w:eastAsia="zh-CN"/>
              </w:rPr>
            </w:pPr>
          </w:p>
        </w:tc>
        <w:tc>
          <w:tcPr>
            <w:tcW w:w="1513" w:type="dxa"/>
            <w:vAlign w:val="center"/>
          </w:tcPr>
          <w:p>
            <w:pPr>
              <w:pStyle w:val="38"/>
              <w:tabs>
                <w:tab w:val="left" w:pos="2688"/>
              </w:tabs>
              <w:spacing w:line="600" w:lineRule="exact"/>
              <w:jc w:val="center"/>
              <w:rPr>
                <w:rFonts w:hint="eastAsia" w:ascii="宋体" w:hAnsi="宋体" w:eastAsia="宋体" w:cs="宋体"/>
                <w:b/>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18" w:type="dxa"/>
            <w:gridSpan w:val="8"/>
            <w:vAlign w:val="center"/>
          </w:tcPr>
          <w:p>
            <w:pPr>
              <w:pStyle w:val="38"/>
              <w:tabs>
                <w:tab w:val="left" w:pos="2688"/>
              </w:tabs>
              <w:spacing w:line="600" w:lineRule="exact"/>
              <w:ind w:left="108"/>
              <w:jc w:val="both"/>
              <w:rPr>
                <w:rFonts w:hint="eastAsia" w:ascii="宋体" w:hAnsi="宋体" w:eastAsia="宋体" w:cs="宋体"/>
                <w:b/>
                <w:sz w:val="24"/>
                <w:szCs w:val="24"/>
                <w:lang w:val="en-US" w:eastAsia="zh-CN"/>
              </w:rPr>
            </w:pPr>
            <w:r>
              <w:rPr>
                <w:rFonts w:hint="eastAsia" w:ascii="宋体" w:hAnsi="宋体" w:eastAsia="宋体" w:cs="宋体"/>
                <w:b/>
                <w:sz w:val="24"/>
                <w:szCs w:val="24"/>
              </w:rPr>
              <w:t xml:space="preserve">   合计人民币金额（大写）：</w:t>
            </w:r>
          </w:p>
        </w:tc>
      </w:tr>
    </w:tbl>
    <w:p>
      <w:pPr>
        <w:pStyle w:val="38"/>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三</w:t>
      </w:r>
      <w:r>
        <w:rPr>
          <w:rFonts w:hint="eastAsia" w:ascii="宋体" w:hAnsi="宋体" w:eastAsia="宋体" w:cs="宋体"/>
          <w:b/>
          <w:sz w:val="24"/>
          <w:szCs w:val="24"/>
        </w:rPr>
        <w:t>、质量要求及技术标准：按国家行业质量、技术标准执行</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与谈判文件参数一致</w:t>
      </w:r>
      <w:r>
        <w:rPr>
          <w:rFonts w:hint="eastAsia" w:ascii="宋体" w:hAnsi="宋体" w:eastAsia="宋体" w:cs="宋体"/>
          <w:b/>
          <w:sz w:val="24"/>
          <w:szCs w:val="24"/>
          <w:lang w:eastAsia="zh-CN"/>
        </w:rPr>
        <w:t>）</w:t>
      </w:r>
      <w:r>
        <w:rPr>
          <w:rFonts w:hint="eastAsia" w:ascii="宋体" w:hAnsi="宋体" w:eastAsia="宋体" w:cs="宋体"/>
          <w:b/>
          <w:sz w:val="24"/>
          <w:szCs w:val="24"/>
        </w:rPr>
        <w:t>。</w:t>
      </w:r>
    </w:p>
    <w:p>
      <w:pPr>
        <w:pStyle w:val="38"/>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、供方对质量负责的条件和期限：自供方到货之日起，该产品</w:t>
      </w:r>
      <w:r>
        <w:rPr>
          <w:rFonts w:hint="eastAsia" w:ascii="宋体" w:hAnsi="宋体" w:eastAsia="宋体" w:cs="宋体"/>
          <w:b/>
          <w:sz w:val="24"/>
          <w:szCs w:val="24"/>
          <w:lang w:val="en-US" w:eastAsia="zh-CN"/>
        </w:rPr>
        <w:t>质量实行三包，</w:t>
      </w:r>
      <w:r>
        <w:rPr>
          <w:rFonts w:hint="eastAsia" w:ascii="宋体" w:hAnsi="宋体" w:eastAsia="宋体" w:cs="宋体"/>
          <w:b/>
          <w:sz w:val="24"/>
          <w:szCs w:val="24"/>
        </w:rPr>
        <w:t>保修期壹年。保修期满后，供方提供有偿终身维修和提供备品备件。若因操作不当或雷击、水灾、地震、强电流等人为及不可抗力因素造成的损坏，不在保修</w:t>
      </w:r>
      <w:r>
        <w:rPr>
          <w:rFonts w:hint="eastAsia" w:ascii="宋体" w:hAnsi="宋体" w:eastAsia="宋体" w:cs="宋体"/>
          <w:b/>
          <w:sz w:val="24"/>
          <w:szCs w:val="24"/>
          <w:lang w:val="en-US" w:eastAsia="zh-CN"/>
        </w:rPr>
        <w:t>范围</w:t>
      </w:r>
      <w:r>
        <w:rPr>
          <w:rFonts w:hint="eastAsia" w:ascii="宋体" w:hAnsi="宋体" w:eastAsia="宋体" w:cs="宋体"/>
          <w:b/>
          <w:sz w:val="24"/>
          <w:szCs w:val="24"/>
        </w:rPr>
        <w:t>之</w:t>
      </w:r>
      <w:r>
        <w:rPr>
          <w:rFonts w:hint="eastAsia" w:ascii="宋体" w:hAnsi="宋体" w:eastAsia="宋体" w:cs="宋体"/>
          <w:b/>
          <w:sz w:val="24"/>
          <w:szCs w:val="24"/>
          <w:lang w:val="en-US" w:eastAsia="zh-CN"/>
        </w:rPr>
        <w:t>内</w:t>
      </w:r>
      <w:r>
        <w:rPr>
          <w:rFonts w:hint="eastAsia" w:ascii="宋体" w:hAnsi="宋体" w:eastAsia="宋体" w:cs="宋体"/>
          <w:b/>
          <w:sz w:val="24"/>
          <w:szCs w:val="24"/>
        </w:rPr>
        <w:t>。</w:t>
      </w:r>
    </w:p>
    <w:p>
      <w:pPr>
        <w:pStyle w:val="38"/>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、交(提)货时间、地点、方式:</w:t>
      </w:r>
    </w:p>
    <w:p>
      <w:pPr>
        <w:pStyle w:val="38"/>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bCs w:val="0"/>
          <w:sz w:val="24"/>
          <w:szCs w:val="24"/>
          <w:u w:val="single"/>
        </w:rPr>
        <w:t xml:space="preserve"> 1</w:t>
      </w:r>
      <w:r>
        <w:rPr>
          <w:rFonts w:hint="eastAsia" w:ascii="宋体" w:hAnsi="宋体" w:eastAsia="宋体" w:cs="宋体"/>
          <w:b/>
          <w:bCs w:val="0"/>
          <w:sz w:val="24"/>
          <w:szCs w:val="24"/>
          <w:u w:val="single"/>
          <w:lang w:eastAsia="zh-CN"/>
        </w:rPr>
        <w:t>、</w:t>
      </w:r>
      <w:r>
        <w:rPr>
          <w:rFonts w:hint="eastAsia" w:ascii="宋体" w:hAnsi="宋体" w:eastAsia="宋体" w:cs="宋体"/>
          <w:b/>
          <w:bCs w:val="0"/>
          <w:sz w:val="24"/>
          <w:szCs w:val="24"/>
          <w:u w:val="single"/>
          <w:lang w:val="en-US" w:eastAsia="zh-CN"/>
        </w:rPr>
        <w:t xml:space="preserve"> </w:t>
      </w:r>
      <w:r>
        <w:rPr>
          <w:rFonts w:hint="eastAsia" w:ascii="宋体" w:hAnsi="宋体" w:eastAsia="宋体" w:cs="宋体"/>
          <w:b/>
          <w:bCs w:val="0"/>
          <w:sz w:val="24"/>
          <w:szCs w:val="24"/>
          <w:u w:val="single"/>
        </w:rPr>
        <w:t>时间：需方基础完工后，</w:t>
      </w:r>
      <w:r>
        <w:rPr>
          <w:rFonts w:hint="eastAsia" w:ascii="宋体" w:hAnsi="宋体" w:eastAsia="宋体" w:cs="宋体"/>
          <w:b/>
          <w:bCs w:val="0"/>
          <w:sz w:val="24"/>
          <w:szCs w:val="24"/>
          <w:u w:val="single"/>
          <w:lang w:val="en-US" w:eastAsia="zh-CN"/>
        </w:rPr>
        <w:t>十个自然日</w:t>
      </w:r>
      <w:r>
        <w:rPr>
          <w:rFonts w:hint="eastAsia" w:ascii="宋体" w:hAnsi="宋体" w:eastAsia="宋体" w:cs="宋体"/>
          <w:b/>
          <w:bCs w:val="0"/>
          <w:sz w:val="24"/>
          <w:szCs w:val="24"/>
          <w:u w:val="single"/>
        </w:rPr>
        <w:t>内送货到现场安装</w:t>
      </w:r>
      <w:r>
        <w:rPr>
          <w:rFonts w:hint="eastAsia" w:ascii="宋体" w:hAnsi="宋体" w:eastAsia="宋体" w:cs="宋体"/>
          <w:b/>
          <w:bCs w:val="0"/>
          <w:sz w:val="24"/>
          <w:szCs w:val="24"/>
          <w:u w:val="single"/>
          <w:lang w:eastAsia="zh-CN"/>
        </w:rPr>
        <w:t>。</w:t>
      </w:r>
      <w:r>
        <w:rPr>
          <w:rFonts w:hint="eastAsia" w:ascii="宋体" w:hAnsi="宋体" w:eastAsia="宋体" w:cs="宋体"/>
          <w:b/>
          <w:bCs w:val="0"/>
          <w:sz w:val="24"/>
          <w:szCs w:val="24"/>
          <w:u w:val="single"/>
          <w:lang w:val="en-US" w:eastAsia="zh-CN"/>
        </w:rPr>
        <w:t xml:space="preserve">            </w:t>
      </w:r>
      <w:r>
        <w:rPr>
          <w:rFonts w:hint="eastAsia" w:ascii="宋体" w:hAnsi="宋体" w:eastAsia="宋体" w:cs="宋体"/>
          <w:b/>
          <w:bCs w:val="0"/>
          <w:sz w:val="24"/>
          <w:szCs w:val="24"/>
        </w:rPr>
        <w:t xml:space="preserve">   </w:t>
      </w:r>
      <w:r>
        <w:rPr>
          <w:rFonts w:hint="eastAsia" w:ascii="宋体" w:hAnsi="宋体" w:eastAsia="宋体" w:cs="宋体"/>
          <w:b/>
          <w:sz w:val="24"/>
          <w:szCs w:val="24"/>
        </w:rPr>
        <w:t xml:space="preserve">                                                                   </w:t>
      </w:r>
    </w:p>
    <w:p>
      <w:pPr>
        <w:pStyle w:val="38"/>
        <w:tabs>
          <w:tab w:val="left" w:pos="2688"/>
        </w:tabs>
        <w:spacing w:before="0" w:beforeAutospacing="0" w:after="0" w:afterAutospacing="0" w:line="640" w:lineRule="exact"/>
        <w:rPr>
          <w:rFonts w:hint="eastAsia" w:ascii="宋体" w:hAnsi="宋体" w:eastAsia="宋体" w:cs="宋体"/>
          <w:b/>
          <w:sz w:val="24"/>
          <w:szCs w:val="24"/>
          <w:u w:val="single"/>
        </w:rPr>
      </w:pPr>
      <w:r>
        <w:rPr>
          <w:rFonts w:hint="eastAsia" w:ascii="宋体" w:hAnsi="宋体" w:eastAsia="宋体" w:cs="宋体"/>
          <w:b/>
          <w:sz w:val="24"/>
          <w:szCs w:val="24"/>
          <w:u w:val="single"/>
        </w:rPr>
        <w:t xml:space="preserve"> 2、地点：</w:t>
      </w:r>
      <w:r>
        <w:rPr>
          <w:rFonts w:hint="eastAsia" w:ascii="宋体" w:hAnsi="宋体" w:eastAsia="宋体" w:cs="宋体"/>
          <w:b/>
          <w:sz w:val="24"/>
          <w:szCs w:val="24"/>
          <w:u w:val="single"/>
          <w:lang w:val="en-US" w:eastAsia="zh-CN"/>
        </w:rPr>
        <w:t xml:space="preserve">甲方指定地点  </w:t>
      </w:r>
      <w:r>
        <w:rPr>
          <w:rFonts w:hint="eastAsia" w:ascii="宋体" w:hAnsi="宋体" w:eastAsia="宋体" w:cs="宋体"/>
          <w:b/>
          <w:sz w:val="24"/>
          <w:szCs w:val="24"/>
          <w:u w:val="single"/>
        </w:rPr>
        <w:t xml:space="preserve">                                                                 </w:t>
      </w:r>
    </w:p>
    <w:p>
      <w:pPr>
        <w:pStyle w:val="38"/>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、运输方式及到达站港和费用负担：由</w:t>
      </w:r>
      <w:r>
        <w:rPr>
          <w:rFonts w:hint="eastAsia" w:ascii="宋体" w:hAnsi="宋体" w:eastAsia="宋体" w:cs="宋体"/>
          <w:b/>
          <w:sz w:val="24"/>
          <w:szCs w:val="24"/>
          <w:u w:val="single"/>
        </w:rPr>
        <w:t>供方</w:t>
      </w:r>
      <w:r>
        <w:rPr>
          <w:rFonts w:hint="eastAsia" w:ascii="宋体" w:hAnsi="宋体" w:eastAsia="宋体" w:cs="宋体"/>
          <w:b/>
          <w:sz w:val="24"/>
          <w:szCs w:val="24"/>
        </w:rPr>
        <w:t>负责支付到达需方指定地点运输费,</w:t>
      </w:r>
      <w:r>
        <w:rPr>
          <w:rFonts w:hint="eastAsia" w:ascii="宋体" w:hAnsi="宋体" w:eastAsia="宋体" w:cs="宋体"/>
          <w:b/>
          <w:sz w:val="24"/>
          <w:szCs w:val="24"/>
          <w:lang w:val="en-US" w:eastAsia="zh-CN"/>
        </w:rPr>
        <w:t>需</w:t>
      </w:r>
      <w:r>
        <w:rPr>
          <w:rFonts w:hint="eastAsia" w:ascii="宋体" w:hAnsi="宋体" w:eastAsia="宋体" w:cs="宋体"/>
          <w:b/>
          <w:sz w:val="24"/>
          <w:szCs w:val="24"/>
        </w:rPr>
        <w:t>方负责安装</w:t>
      </w:r>
      <w:r>
        <w:rPr>
          <w:rFonts w:hint="eastAsia" w:ascii="宋体" w:hAnsi="宋体" w:eastAsia="宋体" w:cs="宋体"/>
          <w:b/>
          <w:sz w:val="24"/>
          <w:szCs w:val="24"/>
          <w:lang w:val="en-US" w:eastAsia="zh-CN"/>
        </w:rPr>
        <w:t>时的</w:t>
      </w:r>
      <w:r>
        <w:rPr>
          <w:rFonts w:hint="eastAsia" w:ascii="宋体" w:hAnsi="宋体" w:eastAsia="宋体" w:cs="宋体"/>
          <w:b/>
          <w:sz w:val="24"/>
          <w:szCs w:val="24"/>
        </w:rPr>
        <w:t>卸车</w:t>
      </w:r>
      <w:r>
        <w:rPr>
          <w:rFonts w:hint="eastAsia" w:ascii="宋体" w:hAnsi="宋体" w:eastAsia="宋体" w:cs="宋体"/>
          <w:b/>
          <w:sz w:val="24"/>
          <w:szCs w:val="24"/>
          <w:lang w:val="en-US" w:eastAsia="zh-CN"/>
        </w:rPr>
        <w:t>及</w:t>
      </w:r>
      <w:r>
        <w:rPr>
          <w:rFonts w:hint="eastAsia" w:ascii="宋体" w:hAnsi="宋体" w:eastAsia="宋体" w:cs="宋体"/>
          <w:b/>
          <w:sz w:val="24"/>
          <w:szCs w:val="24"/>
        </w:rPr>
        <w:t>吊装。</w:t>
      </w:r>
    </w:p>
    <w:p>
      <w:pPr>
        <w:pStyle w:val="38"/>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、随机配件名称、数量及供应办法：</w:t>
      </w:r>
    </w:p>
    <w:p>
      <w:pPr>
        <w:pStyle w:val="38"/>
        <w:tabs>
          <w:tab w:val="left" w:pos="2688"/>
        </w:tabs>
        <w:spacing w:before="0" w:beforeAutospacing="0" w:after="0" w:afterAutospacing="0" w:line="640" w:lineRule="exact"/>
        <w:ind w:firstLine="354" w:firstLineChars="147"/>
        <w:rPr>
          <w:rFonts w:hint="eastAsia" w:ascii="宋体" w:hAnsi="宋体" w:eastAsia="宋体" w:cs="宋体"/>
          <w:b/>
          <w:sz w:val="24"/>
          <w:szCs w:val="24"/>
          <w:u w:val="single"/>
        </w:rPr>
      </w:pP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详见附件清单</w:t>
      </w:r>
      <w:r>
        <w:rPr>
          <w:rFonts w:hint="eastAsia" w:ascii="宋体" w:hAnsi="宋体" w:eastAsia="宋体" w:cs="宋体"/>
          <w:b/>
          <w:sz w:val="24"/>
          <w:szCs w:val="24"/>
          <w:u w:val="single"/>
        </w:rPr>
        <w:t xml:space="preserve">                                                              </w:t>
      </w:r>
    </w:p>
    <w:p>
      <w:pPr>
        <w:pStyle w:val="38"/>
        <w:numPr>
          <w:ilvl w:val="0"/>
          <w:numId w:val="0"/>
        </w:numPr>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rPr>
        <w:t>验收标准、方法及提出异议的期限：</w:t>
      </w:r>
      <w:r>
        <w:rPr>
          <w:rFonts w:hint="eastAsia" w:ascii="宋体" w:hAnsi="宋体" w:eastAsia="宋体" w:cs="宋体"/>
          <w:b/>
          <w:sz w:val="24"/>
          <w:szCs w:val="24"/>
          <w:lang w:val="en-US" w:eastAsia="zh-CN"/>
        </w:rPr>
        <w:t>需</w:t>
      </w:r>
      <w:r>
        <w:rPr>
          <w:rFonts w:hint="eastAsia" w:ascii="宋体" w:hAnsi="宋体" w:eastAsia="宋体" w:cs="宋体"/>
          <w:b/>
          <w:sz w:val="24"/>
          <w:szCs w:val="24"/>
        </w:rPr>
        <w:t>方收货后</w:t>
      </w:r>
      <w:r>
        <w:rPr>
          <w:rFonts w:hint="eastAsia" w:ascii="宋体" w:hAnsi="宋体" w:eastAsia="宋体" w:cs="宋体"/>
          <w:b/>
          <w:sz w:val="24"/>
          <w:szCs w:val="24"/>
          <w:lang w:val="en-US" w:eastAsia="zh-CN"/>
        </w:rPr>
        <w:t>按照合同约定数量清单</w:t>
      </w:r>
      <w:r>
        <w:rPr>
          <w:rFonts w:hint="eastAsia" w:ascii="宋体" w:hAnsi="宋体" w:eastAsia="宋体" w:cs="宋体"/>
          <w:b/>
          <w:sz w:val="24"/>
          <w:szCs w:val="24"/>
        </w:rPr>
        <w:t>对货物进行检验，如有质量问题</w:t>
      </w:r>
      <w:r>
        <w:rPr>
          <w:rFonts w:hint="eastAsia" w:ascii="宋体" w:hAnsi="宋体" w:eastAsia="宋体" w:cs="宋体"/>
          <w:b/>
          <w:sz w:val="24"/>
          <w:szCs w:val="24"/>
          <w:lang w:val="en-US" w:eastAsia="zh-CN"/>
        </w:rPr>
        <w:t>在安装调试完成后3日</w:t>
      </w:r>
      <w:r>
        <w:rPr>
          <w:rFonts w:hint="eastAsia" w:ascii="宋体" w:hAnsi="宋体" w:eastAsia="宋体" w:cs="宋体"/>
          <w:b/>
          <w:sz w:val="24"/>
          <w:szCs w:val="24"/>
        </w:rPr>
        <w:t>内提出书面异议，否则视为收货。</w:t>
      </w:r>
    </w:p>
    <w:p>
      <w:pPr>
        <w:pStyle w:val="38"/>
        <w:numPr>
          <w:ilvl w:val="0"/>
          <w:numId w:val="0"/>
        </w:numPr>
        <w:tabs>
          <w:tab w:val="left" w:pos="2688"/>
        </w:tabs>
        <w:spacing w:before="0" w:beforeAutospacing="0" w:after="0" w:afterAutospacing="0" w:line="640" w:lineRule="exact"/>
        <w:rPr>
          <w:rFonts w:hint="eastAsia" w:ascii="宋体" w:hAnsi="宋体" w:eastAsia="宋体" w:cs="宋体"/>
          <w:b/>
          <w:sz w:val="24"/>
          <w:szCs w:val="24"/>
        </w:rPr>
      </w:pPr>
      <w:r>
        <w:rPr>
          <w:rFonts w:hint="eastAsia" w:ascii="宋体" w:hAnsi="宋体" w:eastAsia="宋体" w:cs="宋体"/>
          <w:b/>
          <w:sz w:val="24"/>
          <w:szCs w:val="24"/>
          <w:lang w:val="en-US" w:eastAsia="zh-CN"/>
        </w:rPr>
        <w:t>九</w:t>
      </w:r>
      <w:r>
        <w:rPr>
          <w:rFonts w:hint="eastAsia" w:ascii="宋体" w:hAnsi="宋体" w:eastAsia="宋体" w:cs="宋体"/>
          <w:b/>
          <w:sz w:val="24"/>
          <w:szCs w:val="24"/>
        </w:rPr>
        <w:t>、结算方式及期限：</w:t>
      </w:r>
    </w:p>
    <w:p>
      <w:pPr>
        <w:pStyle w:val="82"/>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（1）产品安装交付调试后</w:t>
      </w:r>
      <w:r>
        <w:rPr>
          <w:rFonts w:hint="eastAsia" w:ascii="宋体" w:hAnsi="宋体" w:eastAsia="宋体" w:cs="宋体"/>
          <w:sz w:val="24"/>
          <w:szCs w:val="24"/>
        </w:rPr>
        <w:t>，成交供应商应积极配合，采购人在</w:t>
      </w:r>
      <w:r>
        <w:rPr>
          <w:rFonts w:hint="eastAsia" w:ascii="宋体" w:hAnsi="宋体" w:eastAsia="宋体" w:cs="宋体"/>
          <w:sz w:val="24"/>
          <w:szCs w:val="24"/>
          <w:lang w:val="en-US" w:eastAsia="zh-CN"/>
        </w:rPr>
        <w:t>3</w:t>
      </w:r>
      <w:r>
        <w:rPr>
          <w:rFonts w:hint="eastAsia" w:ascii="宋体" w:hAnsi="宋体" w:eastAsia="宋体" w:cs="宋体"/>
          <w:sz w:val="24"/>
          <w:szCs w:val="24"/>
        </w:rPr>
        <w:t>个</w:t>
      </w:r>
      <w:r>
        <w:rPr>
          <w:rFonts w:hint="eastAsia" w:ascii="宋体" w:hAnsi="宋体" w:eastAsia="宋体" w:cs="宋体"/>
          <w:sz w:val="24"/>
          <w:szCs w:val="24"/>
          <w:lang w:val="en-US" w:eastAsia="zh-CN"/>
        </w:rPr>
        <w:t>工作日</w:t>
      </w:r>
      <w:r>
        <w:rPr>
          <w:rFonts w:hint="eastAsia" w:ascii="宋体" w:hAnsi="宋体" w:eastAsia="宋体" w:cs="宋体"/>
          <w:sz w:val="24"/>
          <w:szCs w:val="24"/>
        </w:rPr>
        <w:t>内审核认可，</w:t>
      </w:r>
      <w:r>
        <w:rPr>
          <w:rFonts w:hint="eastAsia" w:ascii="宋体" w:hAnsi="宋体" w:eastAsia="宋体" w:cs="宋体"/>
          <w:sz w:val="24"/>
          <w:szCs w:val="24"/>
          <w:lang w:val="en-US" w:eastAsia="zh-CN"/>
        </w:rPr>
        <w:t>见发票五个工作日内付95%货款，预留5%质保金，待12个月后无质量问题结</w:t>
      </w:r>
      <w:r>
        <w:rPr>
          <w:rFonts w:hint="eastAsia" w:ascii="宋体" w:hAnsi="宋体" w:eastAsia="宋体" w:cs="宋体"/>
          <w:sz w:val="24"/>
          <w:szCs w:val="24"/>
        </w:rPr>
        <w:t>算</w:t>
      </w:r>
      <w:r>
        <w:rPr>
          <w:rFonts w:hint="eastAsia" w:ascii="宋体" w:hAnsi="宋体" w:eastAsia="宋体" w:cs="宋体"/>
          <w:sz w:val="24"/>
          <w:szCs w:val="24"/>
          <w:lang w:val="en-US" w:eastAsia="zh-CN"/>
        </w:rPr>
        <w:t>尾款，</w:t>
      </w:r>
      <w:r>
        <w:rPr>
          <w:rFonts w:hint="eastAsia" w:ascii="宋体" w:hAnsi="宋体" w:eastAsia="宋体" w:cs="宋体"/>
          <w:sz w:val="24"/>
          <w:szCs w:val="24"/>
        </w:rPr>
        <w:t>本项目无预付款。</w:t>
      </w:r>
    </w:p>
    <w:p>
      <w:pPr>
        <w:pStyle w:val="82"/>
        <w:spacing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本合同中甲方支付合同价款的时间从收到乙方发票时开始计算</w:t>
      </w:r>
      <w:r>
        <w:rPr>
          <w:rFonts w:hint="eastAsia" w:ascii="宋体" w:hAnsi="宋体" w:eastAsia="宋体" w:cs="宋体"/>
          <w:sz w:val="24"/>
          <w:szCs w:val="24"/>
          <w:lang w:eastAsia="zh-CN"/>
        </w:rPr>
        <w:t>，</w:t>
      </w:r>
      <w:r>
        <w:rPr>
          <w:rFonts w:hint="eastAsia" w:ascii="宋体" w:hAnsi="宋体" w:eastAsia="宋体" w:cs="宋体"/>
          <w:sz w:val="24"/>
          <w:szCs w:val="24"/>
        </w:rPr>
        <w:t>乙方必须开具正规的税务发票</w:t>
      </w:r>
      <w:r>
        <w:rPr>
          <w:rFonts w:hint="eastAsia" w:ascii="宋体" w:hAnsi="宋体" w:eastAsia="宋体" w:cs="宋体"/>
          <w:kern w:val="0"/>
          <w:sz w:val="24"/>
          <w:szCs w:val="24"/>
        </w:rPr>
        <w:t>。</w:t>
      </w:r>
    </w:p>
    <w:p>
      <w:pPr>
        <w:pStyle w:val="82"/>
        <w:spacing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甲方按照本合同中约定的乙方银行、账号支付合同款</w:t>
      </w:r>
      <w:r>
        <w:rPr>
          <w:rFonts w:hint="eastAsia" w:ascii="宋体" w:hAnsi="宋体" w:eastAsia="宋体" w:cs="宋体"/>
          <w:sz w:val="24"/>
          <w:szCs w:val="24"/>
          <w:lang w:eastAsia="zh-CN"/>
        </w:rPr>
        <w:t>。</w:t>
      </w:r>
    </w:p>
    <w:p>
      <w:pPr>
        <w:pStyle w:val="82"/>
        <w:spacing w:line="360" w:lineRule="auto"/>
        <w:ind w:firstLine="0" w:firstLineChars="0"/>
        <w:rPr>
          <w:rFonts w:hint="eastAsia" w:ascii="宋体" w:hAnsi="宋体" w:eastAsia="宋体" w:cs="宋体"/>
          <w:b/>
          <w:bCs/>
          <w:sz w:val="24"/>
          <w:szCs w:val="24"/>
        </w:rPr>
      </w:pPr>
      <w:r>
        <w:rPr>
          <w:rFonts w:hint="eastAsia" w:ascii="宋体" w:hAnsi="宋体" w:eastAsia="宋体" w:cs="宋体"/>
          <w:b/>
          <w:sz w:val="24"/>
          <w:szCs w:val="24"/>
          <w:lang w:val="en-US" w:eastAsia="zh-CN"/>
        </w:rPr>
        <w:t>十</w:t>
      </w:r>
      <w:r>
        <w:rPr>
          <w:rFonts w:hint="eastAsia" w:ascii="宋体" w:hAnsi="宋体" w:eastAsia="宋体" w:cs="宋体"/>
          <w:b/>
          <w:sz w:val="24"/>
          <w:szCs w:val="24"/>
        </w:rPr>
        <w:t>、供需双方义务及权利：</w:t>
      </w:r>
    </w:p>
    <w:p>
      <w:pPr>
        <w:widowControl/>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（一）甲方职责：</w:t>
      </w:r>
    </w:p>
    <w:p>
      <w:pPr>
        <w:widowControl/>
        <w:numPr>
          <w:ilvl w:val="0"/>
          <w:numId w:val="3"/>
        </w:numPr>
        <w:tabs>
          <w:tab w:val="left" w:pos="900"/>
          <w:tab w:val="clear" w:pos="420"/>
        </w:tabs>
        <w:snapToGrid w:val="0"/>
        <w:spacing w:line="360" w:lineRule="auto"/>
        <w:ind w:left="896" w:hanging="357"/>
        <w:rPr>
          <w:rFonts w:hint="eastAsia" w:ascii="宋体" w:hAnsi="宋体" w:eastAsia="宋体" w:cs="宋体"/>
          <w:sz w:val="24"/>
          <w:szCs w:val="24"/>
        </w:rPr>
      </w:pPr>
      <w:r>
        <w:rPr>
          <w:rFonts w:hint="eastAsia" w:ascii="宋体" w:hAnsi="宋体" w:eastAsia="宋体" w:cs="宋体"/>
          <w:sz w:val="24"/>
          <w:szCs w:val="24"/>
        </w:rPr>
        <w:t>在乙方进场施工前，提供材料堆放场地、临时设施场地、水源和电源。</w:t>
      </w:r>
    </w:p>
    <w:p>
      <w:pPr>
        <w:widowControl/>
        <w:numPr>
          <w:ilvl w:val="0"/>
          <w:numId w:val="3"/>
        </w:numPr>
        <w:tabs>
          <w:tab w:val="left" w:pos="900"/>
          <w:tab w:val="clear" w:pos="420"/>
        </w:tabs>
        <w:snapToGrid w:val="0"/>
        <w:spacing w:line="360" w:lineRule="auto"/>
        <w:ind w:left="896" w:hanging="357"/>
        <w:rPr>
          <w:rFonts w:hint="eastAsia" w:ascii="宋体" w:hAnsi="宋体" w:eastAsia="宋体" w:cs="宋体"/>
          <w:sz w:val="24"/>
          <w:szCs w:val="24"/>
        </w:rPr>
      </w:pPr>
      <w:r>
        <w:rPr>
          <w:rFonts w:hint="eastAsia" w:ascii="宋体" w:hAnsi="宋体" w:eastAsia="宋体" w:cs="宋体"/>
          <w:sz w:val="24"/>
          <w:szCs w:val="24"/>
        </w:rPr>
        <w:t xml:space="preserve">负责协调、确认施工成品损坏的原因、责任及赔偿。 </w:t>
      </w:r>
    </w:p>
    <w:p>
      <w:pPr>
        <w:widowControl/>
        <w:numPr>
          <w:ilvl w:val="0"/>
          <w:numId w:val="3"/>
        </w:numPr>
        <w:tabs>
          <w:tab w:val="left" w:pos="900"/>
          <w:tab w:val="clear" w:pos="420"/>
        </w:tabs>
        <w:snapToGrid w:val="0"/>
        <w:spacing w:line="360" w:lineRule="auto"/>
        <w:ind w:left="896" w:hanging="357"/>
        <w:rPr>
          <w:rFonts w:hint="eastAsia" w:ascii="宋体" w:hAnsi="宋体" w:eastAsia="宋体" w:cs="宋体"/>
          <w:sz w:val="24"/>
          <w:szCs w:val="24"/>
        </w:rPr>
      </w:pPr>
      <w:r>
        <w:rPr>
          <w:rFonts w:hint="eastAsia" w:ascii="宋体" w:hAnsi="宋体" w:eastAsia="宋体" w:cs="宋体"/>
          <w:sz w:val="24"/>
          <w:szCs w:val="24"/>
        </w:rPr>
        <w:t>按合同规定向乙方支付</w:t>
      </w:r>
      <w:r>
        <w:rPr>
          <w:rFonts w:hint="eastAsia" w:ascii="宋体" w:hAnsi="宋体" w:eastAsia="宋体" w:cs="宋体"/>
          <w:sz w:val="24"/>
          <w:szCs w:val="24"/>
          <w:lang w:val="en-US" w:eastAsia="zh-CN"/>
        </w:rPr>
        <w:t>货款及尾</w:t>
      </w:r>
      <w:r>
        <w:rPr>
          <w:rFonts w:hint="eastAsia" w:ascii="宋体" w:hAnsi="宋体" w:eastAsia="宋体" w:cs="宋体"/>
          <w:sz w:val="24"/>
          <w:szCs w:val="24"/>
        </w:rPr>
        <w:t>款。</w:t>
      </w:r>
    </w:p>
    <w:p>
      <w:pPr>
        <w:widowControl/>
        <w:numPr>
          <w:ilvl w:val="0"/>
          <w:numId w:val="3"/>
        </w:numPr>
        <w:tabs>
          <w:tab w:val="left" w:pos="900"/>
          <w:tab w:val="clear" w:pos="420"/>
        </w:tabs>
        <w:snapToGrid w:val="0"/>
        <w:spacing w:line="360" w:lineRule="auto"/>
        <w:ind w:left="896" w:hanging="357"/>
        <w:rPr>
          <w:rFonts w:hint="eastAsia" w:ascii="宋体" w:hAnsi="宋体" w:eastAsia="宋体" w:cs="宋体"/>
          <w:sz w:val="24"/>
          <w:szCs w:val="24"/>
        </w:rPr>
      </w:pPr>
      <w:r>
        <w:rPr>
          <w:rFonts w:hint="eastAsia" w:ascii="宋体" w:hAnsi="宋体" w:eastAsia="宋体" w:cs="宋体"/>
          <w:sz w:val="24"/>
          <w:szCs w:val="24"/>
        </w:rPr>
        <w:t xml:space="preserve">甲方提供堆放建筑垃圾的场地。 </w:t>
      </w:r>
    </w:p>
    <w:p>
      <w:pPr>
        <w:widowControl/>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（二）乙方职责：</w:t>
      </w:r>
    </w:p>
    <w:p>
      <w:pPr>
        <w:widowControl/>
        <w:numPr>
          <w:ilvl w:val="0"/>
          <w:numId w:val="4"/>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本合同内容必须由乙方全部自行完成，不得转包。</w:t>
      </w:r>
    </w:p>
    <w:p>
      <w:pPr>
        <w:widowControl/>
        <w:numPr>
          <w:ilvl w:val="0"/>
          <w:numId w:val="4"/>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乙方必须按照经甲方认可的</w:t>
      </w:r>
      <w:r>
        <w:rPr>
          <w:rFonts w:hint="eastAsia" w:ascii="宋体" w:hAnsi="宋体" w:eastAsia="宋体" w:cs="宋体"/>
          <w:sz w:val="24"/>
          <w:szCs w:val="24"/>
          <w:lang w:val="en-US" w:eastAsia="zh-CN"/>
        </w:rPr>
        <w:t>产品质量、数量</w:t>
      </w:r>
      <w:r>
        <w:rPr>
          <w:rFonts w:hint="eastAsia" w:ascii="宋体" w:hAnsi="宋体" w:eastAsia="宋体" w:cs="宋体"/>
          <w:sz w:val="24"/>
          <w:szCs w:val="24"/>
        </w:rPr>
        <w:t>，并接受甲方派驻现场管理代表的监督。乙方必须无条件服从甲方关于进度、质量、安全、文明施工等方面的检查和整改意见，并及时整改直到符合合同及规范要求。</w:t>
      </w:r>
    </w:p>
    <w:p>
      <w:pPr>
        <w:widowControl/>
        <w:numPr>
          <w:ilvl w:val="0"/>
          <w:numId w:val="4"/>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乙方应根据现场实际情况制定</w:t>
      </w:r>
      <w:r>
        <w:rPr>
          <w:rFonts w:hint="eastAsia" w:ascii="宋体" w:hAnsi="宋体" w:eastAsia="宋体" w:cs="宋体"/>
          <w:sz w:val="24"/>
          <w:szCs w:val="24"/>
          <w:lang w:val="en-US" w:eastAsia="zh-CN"/>
        </w:rPr>
        <w:t>安装调试</w:t>
      </w:r>
      <w:r>
        <w:rPr>
          <w:rFonts w:hint="eastAsia" w:ascii="宋体" w:hAnsi="宋体" w:eastAsia="宋体" w:cs="宋体"/>
          <w:sz w:val="24"/>
          <w:szCs w:val="24"/>
        </w:rPr>
        <w:t xml:space="preserve">计划，经甲方审核后认真实施。 </w:t>
      </w:r>
    </w:p>
    <w:p>
      <w:pPr>
        <w:widowControl/>
        <w:numPr>
          <w:ilvl w:val="0"/>
          <w:numId w:val="4"/>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乙方在</w:t>
      </w:r>
      <w:r>
        <w:rPr>
          <w:rFonts w:hint="eastAsia" w:ascii="宋体" w:hAnsi="宋体" w:eastAsia="宋体" w:cs="宋体"/>
          <w:sz w:val="24"/>
          <w:szCs w:val="24"/>
          <w:lang w:val="en-US" w:eastAsia="zh-CN"/>
        </w:rPr>
        <w:t>安装</w:t>
      </w:r>
      <w:r>
        <w:rPr>
          <w:rFonts w:hint="eastAsia" w:ascii="宋体" w:hAnsi="宋体" w:eastAsia="宋体" w:cs="宋体"/>
          <w:sz w:val="24"/>
          <w:szCs w:val="24"/>
        </w:rPr>
        <w:t>过程中发生质量事故，应及时报告甲方，处理方案应经甲方同意后实施。</w:t>
      </w:r>
    </w:p>
    <w:p>
      <w:pPr>
        <w:widowControl/>
        <w:numPr>
          <w:ilvl w:val="0"/>
          <w:numId w:val="4"/>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 xml:space="preserve">由于乙方原因造成质量、安全事故的，一切费用及责任均由乙方自行承担。 </w:t>
      </w:r>
    </w:p>
    <w:p>
      <w:pPr>
        <w:widowControl/>
        <w:numPr>
          <w:ilvl w:val="0"/>
          <w:numId w:val="4"/>
        </w:numPr>
        <w:tabs>
          <w:tab w:val="left" w:pos="0"/>
          <w:tab w:val="clear" w:pos="420"/>
        </w:tabs>
        <w:snapToGrid w:val="0"/>
        <w:spacing w:line="360" w:lineRule="auto"/>
        <w:ind w:left="0" w:firstLine="539"/>
        <w:rPr>
          <w:rFonts w:hint="eastAsia" w:ascii="宋体" w:hAnsi="宋体" w:eastAsia="宋体" w:cs="宋体"/>
          <w:sz w:val="24"/>
          <w:szCs w:val="24"/>
          <w:u w:val="wave" w:color="FF0000"/>
        </w:rPr>
      </w:pPr>
      <w:r>
        <w:rPr>
          <w:rFonts w:hint="eastAsia" w:ascii="宋体" w:hAnsi="宋体" w:eastAsia="宋体" w:cs="宋体"/>
          <w:sz w:val="24"/>
          <w:szCs w:val="24"/>
        </w:rPr>
        <w:t>如乙方违反以上乙方职责，在接到甲方书面通知后还未整改，甲方有权实行相应的经济处罚，处罚费用从乙方</w:t>
      </w:r>
      <w:r>
        <w:rPr>
          <w:rFonts w:hint="eastAsia" w:ascii="宋体" w:hAnsi="宋体" w:eastAsia="宋体" w:cs="宋体"/>
          <w:sz w:val="24"/>
          <w:szCs w:val="24"/>
          <w:lang w:val="en-US" w:eastAsia="zh-CN"/>
        </w:rPr>
        <w:t>质保金</w:t>
      </w:r>
      <w:r>
        <w:rPr>
          <w:rFonts w:hint="eastAsia" w:ascii="宋体" w:hAnsi="宋体" w:eastAsia="宋体" w:cs="宋体"/>
          <w:sz w:val="24"/>
          <w:szCs w:val="24"/>
        </w:rPr>
        <w:t>中扣除。</w:t>
      </w:r>
    </w:p>
    <w:p>
      <w:pPr>
        <w:pStyle w:val="38"/>
        <w:tabs>
          <w:tab w:val="left" w:pos="2688"/>
        </w:tabs>
        <w:spacing w:before="0" w:beforeAutospacing="0" w:after="0" w:afterAutospacing="0" w:line="6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 xml:space="preserve">     </w:t>
      </w:r>
    </w:p>
    <w:p>
      <w:pPr>
        <w:widowControl/>
        <w:tabs>
          <w:tab w:val="right" w:pos="8312"/>
        </w:tabs>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一、违约责任</w:t>
      </w:r>
      <w:r>
        <w:rPr>
          <w:rFonts w:hint="eastAsia" w:ascii="宋体" w:hAnsi="宋体" w:eastAsia="宋体" w:cs="宋体"/>
          <w:b/>
          <w:bCs/>
          <w:sz w:val="24"/>
          <w:szCs w:val="24"/>
        </w:rPr>
        <w:tab/>
      </w:r>
    </w:p>
    <w:p>
      <w:pPr>
        <w:widowControl/>
        <w:numPr>
          <w:ilvl w:val="0"/>
          <w:numId w:val="5"/>
        </w:numPr>
        <w:tabs>
          <w:tab w:val="left" w:pos="0"/>
          <w:tab w:val="clear" w:pos="420"/>
        </w:tabs>
        <w:snapToGrid w:val="0"/>
        <w:spacing w:line="360" w:lineRule="auto"/>
        <w:ind w:left="0" w:right="-11" w:firstLine="53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由于乙方原因不能继续履行合同或完成</w:t>
      </w:r>
      <w:r>
        <w:rPr>
          <w:rFonts w:hint="eastAsia" w:ascii="宋体" w:hAnsi="宋体" w:eastAsia="宋体" w:cs="宋体"/>
          <w:sz w:val="24"/>
          <w:szCs w:val="24"/>
          <w:lang w:val="en-US" w:eastAsia="zh-CN"/>
        </w:rPr>
        <w:t>交付</w:t>
      </w:r>
      <w:r>
        <w:rPr>
          <w:rFonts w:hint="eastAsia" w:ascii="宋体" w:hAnsi="宋体" w:eastAsia="宋体" w:cs="宋体"/>
          <w:sz w:val="24"/>
          <w:szCs w:val="24"/>
        </w:rPr>
        <w:t>时，经双方协商同意可解除合同，但必须赔偿相应损失，并向甲方支付合同总价的10％作为违约金。</w:t>
      </w:r>
    </w:p>
    <w:p>
      <w:pPr>
        <w:widowControl/>
        <w:numPr>
          <w:ilvl w:val="0"/>
          <w:numId w:val="5"/>
        </w:numPr>
        <w:tabs>
          <w:tab w:val="left" w:pos="0"/>
          <w:tab w:val="clear" w:pos="420"/>
        </w:tabs>
        <w:snapToGrid w:val="0"/>
        <w:spacing w:line="360" w:lineRule="auto"/>
        <w:ind w:left="0" w:right="-11" w:firstLine="539"/>
        <w:rPr>
          <w:rFonts w:hint="eastAsia" w:ascii="宋体" w:hAnsi="宋体" w:eastAsia="宋体" w:cs="宋体"/>
          <w:sz w:val="24"/>
          <w:szCs w:val="24"/>
        </w:rPr>
      </w:pPr>
      <w:r>
        <w:rPr>
          <w:rFonts w:hint="eastAsia" w:ascii="宋体" w:hAnsi="宋体" w:eastAsia="宋体" w:cs="宋体"/>
          <w:sz w:val="24"/>
          <w:szCs w:val="24"/>
        </w:rPr>
        <w:t>合同签订后，因甲方原因引起乙方不能履行合同时，应向乙方支付实际发生的费用。</w:t>
      </w:r>
    </w:p>
    <w:p>
      <w:pPr>
        <w:widowControl/>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十二、合同价款及调整</w:t>
      </w:r>
    </w:p>
    <w:p>
      <w:pPr>
        <w:widowControl/>
        <w:numPr>
          <w:ilvl w:val="0"/>
          <w:numId w:val="6"/>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合同价款在合同签订后，任何一方不得擅自改变。协议条款中另有约定的或发生下列情况之一的可做调整：甲方确认的设计变更或</w:t>
      </w:r>
      <w:r>
        <w:rPr>
          <w:rFonts w:hint="eastAsia" w:ascii="宋体" w:hAnsi="宋体" w:eastAsia="宋体" w:cs="宋体"/>
          <w:sz w:val="24"/>
          <w:szCs w:val="24"/>
          <w:lang w:val="en-US" w:eastAsia="zh-CN"/>
        </w:rPr>
        <w:t>参数</w:t>
      </w:r>
      <w:r>
        <w:rPr>
          <w:rFonts w:hint="eastAsia" w:ascii="宋体" w:hAnsi="宋体" w:eastAsia="宋体" w:cs="宋体"/>
          <w:sz w:val="24"/>
          <w:szCs w:val="24"/>
        </w:rPr>
        <w:t>洽商。</w:t>
      </w:r>
    </w:p>
    <w:p>
      <w:pPr>
        <w:widowControl/>
        <w:numPr>
          <w:ilvl w:val="0"/>
          <w:numId w:val="6"/>
        </w:numPr>
        <w:tabs>
          <w:tab w:val="left" w:pos="0"/>
          <w:tab w:val="clear" w:pos="420"/>
        </w:tabs>
        <w:snapToGrid w:val="0"/>
        <w:spacing w:line="360" w:lineRule="auto"/>
        <w:ind w:left="0" w:firstLine="539"/>
        <w:rPr>
          <w:rFonts w:hint="eastAsia" w:ascii="宋体" w:hAnsi="宋体" w:eastAsia="宋体" w:cs="宋体"/>
          <w:sz w:val="24"/>
          <w:szCs w:val="24"/>
        </w:rPr>
      </w:pPr>
      <w:r>
        <w:rPr>
          <w:rFonts w:hint="eastAsia" w:ascii="宋体" w:hAnsi="宋体" w:eastAsia="宋体" w:cs="宋体"/>
          <w:sz w:val="24"/>
          <w:szCs w:val="24"/>
        </w:rPr>
        <w:t>如发生上述情况，乙方应在情况发生后三日内，将调整的原因及涉及金额以书面形式通知甲方，甲方确认后作为结算依据。</w:t>
      </w:r>
    </w:p>
    <w:p>
      <w:pPr>
        <w:widowControl/>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十三、仲裁</w:t>
      </w:r>
    </w:p>
    <w:p>
      <w:pPr>
        <w:pStyle w:val="21"/>
        <w:widowControl/>
        <w:snapToGrid w:val="0"/>
        <w:spacing w:line="360" w:lineRule="auto"/>
        <w:ind w:left="0" w:firstLine="480" w:firstLineChars="200"/>
        <w:rPr>
          <w:rFonts w:hint="eastAsia" w:ascii="宋体" w:hAnsi="宋体" w:eastAsia="宋体" w:cs="宋体"/>
          <w:sz w:val="24"/>
          <w:szCs w:val="24"/>
        </w:rPr>
      </w:pPr>
      <w:r>
        <w:rPr>
          <w:rFonts w:hint="eastAsia" w:ascii="宋体" w:hAnsi="宋体" w:eastAsia="宋体" w:cs="宋体"/>
          <w:sz w:val="24"/>
          <w:szCs w:val="24"/>
        </w:rPr>
        <w:t>如发生争议，双方应通过友好协商或调解求得解决，协商或调解不成时，应将争议提交长沙市仲裁委员会，按该会仲裁规则申请仲裁。仲裁期间，双方应继续执行除争议部分之外的合同其他条款。</w:t>
      </w:r>
    </w:p>
    <w:p>
      <w:pPr>
        <w:widowControl/>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十</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、其他</w:t>
      </w:r>
    </w:p>
    <w:p>
      <w:pPr>
        <w:widowControl/>
        <w:numPr>
          <w:ilvl w:val="0"/>
          <w:numId w:val="7"/>
        </w:numPr>
        <w:tabs>
          <w:tab w:val="left" w:pos="0"/>
          <w:tab w:val="left" w:pos="840"/>
          <w:tab w:val="clear" w:pos="420"/>
        </w:tabs>
        <w:snapToGrid w:val="0"/>
        <w:spacing w:line="360" w:lineRule="auto"/>
        <w:ind w:left="0" w:right="-11" w:firstLine="540" w:firstLineChars="225"/>
        <w:rPr>
          <w:rFonts w:hint="eastAsia" w:ascii="宋体" w:hAnsi="宋体" w:eastAsia="宋体" w:cs="宋体"/>
          <w:sz w:val="24"/>
          <w:szCs w:val="24"/>
        </w:rPr>
      </w:pPr>
      <w:r>
        <w:rPr>
          <w:rFonts w:hint="eastAsia" w:ascii="宋体" w:hAnsi="宋体" w:eastAsia="宋体" w:cs="宋体"/>
          <w:sz w:val="24"/>
          <w:szCs w:val="24"/>
        </w:rPr>
        <w:t>合同一式肆份，甲方贰份、乙方贰份。甲乙双方签字和盖章后本合同即生效。</w:t>
      </w:r>
    </w:p>
    <w:p>
      <w:pPr>
        <w:widowControl/>
        <w:numPr>
          <w:ilvl w:val="0"/>
          <w:numId w:val="7"/>
        </w:numPr>
        <w:tabs>
          <w:tab w:val="left" w:pos="0"/>
          <w:tab w:val="left" w:pos="840"/>
          <w:tab w:val="clear" w:pos="420"/>
        </w:tabs>
        <w:snapToGrid w:val="0"/>
        <w:spacing w:line="360" w:lineRule="auto"/>
        <w:ind w:left="0" w:right="-11" w:firstLine="540" w:firstLineChars="225"/>
        <w:rPr>
          <w:rFonts w:hint="eastAsia" w:ascii="宋体" w:hAnsi="宋体" w:eastAsia="宋体" w:cs="宋体"/>
          <w:sz w:val="24"/>
          <w:szCs w:val="24"/>
        </w:rPr>
      </w:pPr>
      <w:r>
        <w:rPr>
          <w:rFonts w:hint="eastAsia" w:ascii="宋体" w:hAnsi="宋体" w:eastAsia="宋体" w:cs="宋体"/>
          <w:sz w:val="24"/>
          <w:szCs w:val="24"/>
        </w:rPr>
        <w:t>谈判邀请文件、谈判文件、询标答复作为本合同的附件，与本合同具有同等法律效力。</w:t>
      </w:r>
    </w:p>
    <w:p>
      <w:pPr>
        <w:widowControl/>
        <w:numPr>
          <w:ilvl w:val="0"/>
          <w:numId w:val="7"/>
        </w:numPr>
        <w:tabs>
          <w:tab w:val="left" w:pos="0"/>
          <w:tab w:val="left" w:pos="840"/>
          <w:tab w:val="clear" w:pos="420"/>
        </w:tabs>
        <w:snapToGrid w:val="0"/>
        <w:spacing w:line="360" w:lineRule="auto"/>
        <w:ind w:left="0" w:right="-11" w:firstLine="540" w:firstLineChars="225"/>
        <w:rPr>
          <w:rFonts w:hint="eastAsia" w:ascii="宋体" w:hAnsi="宋体" w:eastAsia="宋体" w:cs="宋体"/>
          <w:sz w:val="24"/>
          <w:szCs w:val="24"/>
        </w:rPr>
      </w:pPr>
      <w:r>
        <w:rPr>
          <w:rFonts w:hint="eastAsia" w:ascii="宋体" w:hAnsi="宋体" w:eastAsia="宋体" w:cs="宋体"/>
          <w:sz w:val="24"/>
          <w:szCs w:val="24"/>
        </w:rPr>
        <w:t>未尽事宜，甲乙双方协商解决。</w:t>
      </w:r>
    </w:p>
    <w:tbl>
      <w:tblPr>
        <w:tblStyle w:val="4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rPr>
            </w:pPr>
            <w:r>
              <w:rPr>
                <w:rFonts w:hint="eastAsia" w:ascii="宋体" w:hAnsi="宋体" w:cs="宋体"/>
                <w:b/>
                <w:bCs/>
                <w:sz w:val="24"/>
                <w:szCs w:val="24"/>
              </w:rPr>
              <w:t>甲方</w:t>
            </w:r>
          </w:p>
          <w:p>
            <w:pPr>
              <w:widowControl/>
              <w:tabs>
                <w:tab w:val="left" w:pos="4470"/>
                <w:tab w:val="left" w:pos="4620"/>
                <w:tab w:val="left" w:pos="5040"/>
                <w:tab w:val="left" w:pos="6045"/>
                <w:tab w:val="left" w:pos="6300"/>
                <w:tab w:val="left" w:pos="6720"/>
                <w:tab w:val="left" w:pos="7140"/>
                <w:tab w:val="left" w:pos="7575"/>
              </w:tabs>
              <w:spacing w:line="360" w:lineRule="auto"/>
              <w:ind w:left="1920" w:hanging="1920" w:hangingChars="800"/>
              <w:rPr>
                <w:rFonts w:ascii="宋体" w:hAnsi="宋体" w:cs="宋体"/>
                <w:sz w:val="24"/>
                <w:szCs w:val="24"/>
              </w:rPr>
            </w:pPr>
            <w:r>
              <w:rPr>
                <w:rFonts w:hint="eastAsia" w:ascii="宋体" w:hAnsi="宋体" w:cs="宋体"/>
                <w:sz w:val="24"/>
                <w:szCs w:val="24"/>
              </w:rPr>
              <w:t>单位名称（章）：</w:t>
            </w:r>
          </w:p>
          <w:p>
            <w:pPr>
              <w:spacing w:line="360" w:lineRule="auto"/>
              <w:rPr>
                <w:rFonts w:ascii="宋体" w:hAnsi="宋体" w:cs="宋体"/>
                <w:sz w:val="24"/>
                <w:szCs w:val="24"/>
              </w:rPr>
            </w:pPr>
            <w:r>
              <w:rPr>
                <w:rFonts w:hint="eastAsia" w:ascii="宋体" w:hAnsi="宋体" w:cs="宋体"/>
                <w:sz w:val="24"/>
                <w:szCs w:val="24"/>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委托代理人：</w:t>
            </w:r>
          </w:p>
          <w:p>
            <w:pPr>
              <w:spacing w:line="360" w:lineRule="auto"/>
              <w:ind w:left="960" w:hanging="960" w:hangingChars="400"/>
              <w:rPr>
                <w:rFonts w:ascii="宋体" w:hAnsi="宋体" w:cs="宋体"/>
                <w:sz w:val="24"/>
                <w:szCs w:val="24"/>
              </w:rPr>
            </w:pPr>
            <w:r>
              <w:rPr>
                <w:rFonts w:hint="eastAsia" w:ascii="宋体" w:hAnsi="宋体" w:cs="宋体"/>
                <w:sz w:val="24"/>
                <w:szCs w:val="24"/>
              </w:rPr>
              <w:t>开户银行：</w:t>
            </w:r>
          </w:p>
          <w:p>
            <w:pPr>
              <w:spacing w:line="360" w:lineRule="auto"/>
              <w:rPr>
                <w:rFonts w:ascii="宋体" w:hAnsi="宋体" w:cs="宋体"/>
                <w:sz w:val="24"/>
                <w:szCs w:val="24"/>
              </w:rPr>
            </w:pPr>
            <w:r>
              <w:rPr>
                <w:rFonts w:hint="eastAsia" w:ascii="宋体" w:hAnsi="宋体" w:cs="宋体"/>
                <w:sz w:val="24"/>
                <w:szCs w:val="24"/>
              </w:rPr>
              <w:t xml:space="preserve">账    号：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color w:val="000000"/>
                <w:sz w:val="24"/>
                <w:szCs w:val="24"/>
              </w:rPr>
              <w:t xml:space="preserve">  </w:t>
            </w:r>
            <w:r>
              <w:rPr>
                <w:rFonts w:hint="eastAsia" w:ascii="宋体" w:hAnsi="宋体" w:cs="宋体"/>
                <w:sz w:val="24"/>
                <w:szCs w:val="24"/>
              </w:rPr>
              <w:t xml:space="preserve">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160" w:firstLineChars="900"/>
              <w:rPr>
                <w:rFonts w:ascii="宋体" w:hAnsi="宋体" w:cs="宋体"/>
                <w:sz w:val="24"/>
                <w:szCs w:val="24"/>
              </w:rPr>
            </w:pPr>
            <w:r>
              <w:rPr>
                <w:rFonts w:hint="eastAsia" w:ascii="宋体" w:hAnsi="宋体" w:cs="宋体"/>
                <w:sz w:val="24"/>
                <w:szCs w:val="24"/>
              </w:rPr>
              <w:t xml:space="preserve"> 年    月    日</w:t>
            </w:r>
          </w:p>
        </w:tc>
        <w:tc>
          <w:tcPr>
            <w:tcW w:w="4814" w:type="dxa"/>
          </w:tcPr>
          <w:p>
            <w:pPr>
              <w:widowControl/>
              <w:tabs>
                <w:tab w:val="left" w:pos="4470"/>
                <w:tab w:val="left" w:pos="4620"/>
                <w:tab w:val="left" w:pos="5040"/>
                <w:tab w:val="left" w:pos="6045"/>
                <w:tab w:val="left" w:pos="6300"/>
                <w:tab w:val="left" w:pos="6720"/>
                <w:tab w:val="left" w:pos="7140"/>
                <w:tab w:val="left" w:pos="7575"/>
              </w:tabs>
              <w:spacing w:line="360" w:lineRule="auto"/>
              <w:ind w:firstLine="1928" w:firstLineChars="800"/>
              <w:rPr>
                <w:rFonts w:ascii="宋体" w:hAnsi="宋体" w:cs="宋体"/>
                <w:b/>
                <w:bCs/>
                <w:sz w:val="24"/>
                <w:szCs w:val="24"/>
              </w:rPr>
            </w:pPr>
            <w:r>
              <w:rPr>
                <w:rFonts w:hint="eastAsia" w:ascii="宋体" w:hAnsi="宋体" w:cs="宋体"/>
                <w:b/>
                <w:bCs/>
                <w:sz w:val="24"/>
                <w:szCs w:val="24"/>
              </w:rPr>
              <w:t>乙方</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 xml:space="preserve">单位名称（章）：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 xml:space="preserve">单位地址： </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委托代理人：</w:t>
            </w:r>
          </w:p>
          <w:p>
            <w:pPr>
              <w:widowControl/>
              <w:tabs>
                <w:tab w:val="left" w:pos="4470"/>
                <w:tab w:val="left" w:pos="4620"/>
                <w:tab w:val="left" w:pos="5040"/>
                <w:tab w:val="left" w:pos="6045"/>
                <w:tab w:val="left" w:pos="6300"/>
                <w:tab w:val="left" w:pos="6720"/>
                <w:tab w:val="left" w:pos="7140"/>
                <w:tab w:val="left" w:pos="7575"/>
              </w:tabs>
              <w:spacing w:line="360" w:lineRule="auto"/>
              <w:ind w:left="1200" w:hanging="1200" w:hangingChars="500"/>
              <w:rPr>
                <w:rFonts w:ascii="宋体" w:hAnsi="宋体" w:cs="宋体"/>
                <w:sz w:val="24"/>
                <w:szCs w:val="24"/>
              </w:rPr>
            </w:pPr>
            <w:r>
              <w:rPr>
                <w:rFonts w:hint="eastAsia" w:ascii="宋体" w:hAnsi="宋体" w:cs="宋体"/>
                <w:sz w:val="24"/>
                <w:szCs w:val="24"/>
              </w:rPr>
              <w:t>开户银行：</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账    号：</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电    话：</w:t>
            </w:r>
          </w:p>
          <w:p>
            <w:pPr>
              <w:widowControl/>
              <w:tabs>
                <w:tab w:val="left" w:pos="4470"/>
                <w:tab w:val="left" w:pos="4620"/>
                <w:tab w:val="left" w:pos="5040"/>
                <w:tab w:val="left" w:pos="6045"/>
                <w:tab w:val="left" w:pos="6300"/>
                <w:tab w:val="left" w:pos="6720"/>
                <w:tab w:val="left" w:pos="7140"/>
                <w:tab w:val="left" w:pos="7575"/>
              </w:tabs>
              <w:spacing w:line="360" w:lineRule="auto"/>
              <w:rPr>
                <w:rFonts w:ascii="宋体" w:hAnsi="宋体" w:cs="宋体"/>
                <w:sz w:val="24"/>
                <w:szCs w:val="24"/>
              </w:rPr>
            </w:pPr>
            <w:r>
              <w:rPr>
                <w:rFonts w:hint="eastAsia" w:ascii="宋体" w:hAnsi="宋体" w:cs="宋体"/>
                <w:sz w:val="24"/>
                <w:szCs w:val="24"/>
              </w:rPr>
              <w:t>传    真：</w:t>
            </w:r>
          </w:p>
          <w:p>
            <w:pPr>
              <w:widowControl/>
              <w:tabs>
                <w:tab w:val="left" w:pos="4470"/>
                <w:tab w:val="left" w:pos="4620"/>
                <w:tab w:val="left" w:pos="5040"/>
                <w:tab w:val="left" w:pos="6045"/>
                <w:tab w:val="left" w:pos="6300"/>
                <w:tab w:val="left" w:pos="6720"/>
                <w:tab w:val="left" w:pos="7140"/>
                <w:tab w:val="left" w:pos="7575"/>
              </w:tabs>
              <w:spacing w:line="360" w:lineRule="auto"/>
              <w:ind w:firstLine="2040" w:firstLineChars="850"/>
              <w:rPr>
                <w:rFonts w:ascii="宋体" w:hAnsi="宋体" w:cs="宋体"/>
                <w:sz w:val="24"/>
                <w:szCs w:val="24"/>
              </w:rPr>
            </w:pPr>
            <w:r>
              <w:rPr>
                <w:rFonts w:hint="eastAsia" w:ascii="宋体" w:hAnsi="宋体" w:cs="宋体"/>
                <w:sz w:val="24"/>
                <w:szCs w:val="24"/>
              </w:rPr>
              <w:t>年     月    日</w:t>
            </w:r>
          </w:p>
        </w:tc>
      </w:tr>
    </w:tbl>
    <w:p>
      <w:pPr>
        <w:spacing w:line="360" w:lineRule="auto"/>
        <w:jc w:val="center"/>
        <w:rPr>
          <w:rFonts w:hint="eastAsia" w:ascii="宋体" w:hAnsi="宋体" w:cs="宋体"/>
          <w:sz w:val="32"/>
          <w:szCs w:val="32"/>
        </w:rPr>
      </w:pPr>
      <w:bookmarkStart w:id="25" w:name="_Toc32527"/>
    </w:p>
    <w:p>
      <w:pPr>
        <w:spacing w:line="360" w:lineRule="auto"/>
        <w:jc w:val="center"/>
        <w:rPr>
          <w:rFonts w:hint="eastAsia" w:ascii="宋体" w:hAnsi="宋体" w:cs="宋体"/>
          <w:sz w:val="32"/>
          <w:szCs w:val="32"/>
        </w:rPr>
      </w:pPr>
    </w:p>
    <w:p>
      <w:pPr>
        <w:spacing w:line="360" w:lineRule="auto"/>
        <w:jc w:val="center"/>
        <w:rPr>
          <w:b/>
          <w:sz w:val="32"/>
          <w:szCs w:val="32"/>
        </w:rPr>
      </w:pPr>
      <w:r>
        <w:rPr>
          <w:rFonts w:hint="eastAsia" w:ascii="宋体" w:hAnsi="宋体" w:cs="宋体"/>
          <w:b/>
          <w:sz w:val="32"/>
          <w:szCs w:val="32"/>
        </w:rPr>
        <w:t>第五章  谈判响应文件编制</w:t>
      </w:r>
      <w:bookmarkEnd w:id="25"/>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4.1谈判文件正本壹份、副本肆份。每一份谈判文件注明“正本”或“副本”字样，并注明所谈判段。正本与副本有差异，以正本为准。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40"/>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40"/>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pStyle w:val="7"/>
        <w:spacing w:line="560" w:lineRule="exact"/>
        <w:jc w:val="center"/>
        <w:rPr>
          <w:rFonts w:ascii="宋体" w:hAnsi="宋体" w:cs="宋体"/>
          <w:sz w:val="32"/>
          <w:szCs w:val="32"/>
        </w:rPr>
      </w:pPr>
      <w:bookmarkStart w:id="26" w:name="_Toc10238"/>
      <w:r>
        <w:rPr>
          <w:rFonts w:hint="eastAsia" w:ascii="宋体" w:hAnsi="宋体" w:cs="宋体"/>
          <w:sz w:val="32"/>
          <w:szCs w:val="32"/>
        </w:rPr>
        <w:t>第六章 谈判响应文件组成</w:t>
      </w:r>
      <w:bookmarkEnd w:id="26"/>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 xml:space="preserve">二、保证金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spacing w:line="360" w:lineRule="auto"/>
        <w:rPr>
          <w:rFonts w:ascii="宋体" w:hAnsi="宋体" w:cs="宋体"/>
          <w:b/>
          <w:sz w:val="24"/>
          <w:szCs w:val="24"/>
        </w:rPr>
      </w:pPr>
      <w:r>
        <w:rPr>
          <w:rFonts w:hint="eastAsia" w:ascii="宋体" w:hAnsi="宋体" w:cs="宋体"/>
          <w:b/>
          <w:sz w:val="24"/>
          <w:szCs w:val="24"/>
        </w:rPr>
        <w:t>四、</w:t>
      </w:r>
      <w:r>
        <w:rPr>
          <w:rFonts w:hint="eastAsia" w:ascii="宋体" w:hAnsi="宋体" w:cs="宋体"/>
          <w:b/>
          <w:sz w:val="24"/>
          <w:szCs w:val="24"/>
          <w:lang w:val="en-US" w:eastAsia="zh-CN"/>
        </w:rPr>
        <w:t>参数</w:t>
      </w:r>
      <w:r>
        <w:rPr>
          <w:rFonts w:hint="eastAsia" w:ascii="宋体" w:hAnsi="宋体" w:cs="宋体"/>
          <w:b/>
          <w:sz w:val="24"/>
          <w:szCs w:val="24"/>
        </w:rPr>
        <w:t>方案及售后方案</w:t>
      </w:r>
    </w:p>
    <w:p>
      <w:pPr>
        <w:spacing w:line="360" w:lineRule="auto"/>
        <w:rPr>
          <w:rFonts w:ascii="宋体" w:hAnsi="宋体" w:cs="宋体"/>
          <w:sz w:val="24"/>
          <w:szCs w:val="24"/>
        </w:rPr>
      </w:pPr>
      <w:r>
        <w:rPr>
          <w:rFonts w:hint="eastAsia" w:ascii="宋体" w:hAnsi="宋体" w:cs="宋体"/>
          <w:sz w:val="24"/>
          <w:szCs w:val="24"/>
        </w:rPr>
        <w:t>附件6：</w:t>
      </w:r>
      <w:r>
        <w:rPr>
          <w:rFonts w:hint="eastAsia" w:ascii="宋体" w:hAnsi="宋体" w:cs="宋体"/>
          <w:sz w:val="24"/>
          <w:szCs w:val="24"/>
          <w:lang w:val="en-US" w:eastAsia="zh-CN"/>
        </w:rPr>
        <w:t>参数</w:t>
      </w:r>
      <w:r>
        <w:rPr>
          <w:rFonts w:hint="eastAsia" w:ascii="宋体" w:hAnsi="宋体" w:cs="宋体"/>
          <w:sz w:val="24"/>
          <w:szCs w:val="24"/>
        </w:rPr>
        <w:t>方案及售后方案说明</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ascii="宋体" w:hAnsi="宋体" w:cs="宋体"/>
          <w:b/>
          <w:sz w:val="24"/>
          <w:szCs w:val="24"/>
        </w:rPr>
      </w:pPr>
      <w:r>
        <w:rPr>
          <w:rFonts w:hint="eastAsia" w:ascii="宋体" w:hAnsi="宋体" w:cs="宋体"/>
          <w:b/>
          <w:sz w:val="24"/>
          <w:szCs w:val="24"/>
        </w:rPr>
        <w:t>六、货物说明一览表</w:t>
      </w:r>
    </w:p>
    <w:p>
      <w:pPr>
        <w:spacing w:line="360" w:lineRule="auto"/>
        <w:rPr>
          <w:rFonts w:ascii="宋体" w:hAnsi="宋体" w:cs="宋体"/>
          <w:b/>
          <w:sz w:val="24"/>
          <w:szCs w:val="24"/>
        </w:rPr>
      </w:pPr>
      <w:r>
        <w:rPr>
          <w:rFonts w:hint="eastAsia" w:ascii="宋体" w:hAnsi="宋体" w:cs="宋体"/>
          <w:b/>
          <w:sz w:val="24"/>
          <w:szCs w:val="24"/>
        </w:rPr>
        <w:t>七、报价一览表及分项价格表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spacing w:line="360" w:lineRule="auto"/>
        <w:rPr>
          <w:rFonts w:ascii="宋体" w:hAnsi="宋体" w:cs="宋体"/>
          <w:b/>
          <w:sz w:val="24"/>
          <w:szCs w:val="24"/>
        </w:rPr>
      </w:pPr>
      <w:r>
        <w:rPr>
          <w:rFonts w:hint="eastAsia" w:ascii="宋体" w:hAnsi="宋体" w:cs="宋体"/>
          <w:b/>
          <w:sz w:val="24"/>
          <w:szCs w:val="24"/>
        </w:rPr>
        <w:t>八、供应商认为需提供的其他资料</w:t>
      </w: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4"/>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90 </w:t>
      </w:r>
      <w:r>
        <w:rPr>
          <w:rFonts w:hint="eastAsia" w:hAnsi="宋体"/>
          <w:sz w:val="24"/>
          <w:szCs w:val="24"/>
        </w:rPr>
        <w:t>日内(响应文件有效期)遵守本响应文件中的承诺且在此期限期满之前均具有法律约束力。</w:t>
      </w:r>
    </w:p>
    <w:p>
      <w:pPr>
        <w:pStyle w:val="24"/>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4"/>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4"/>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四、我方承诺遵守相关法律的有关规定，保证在获得中标资格后，按照谈判邀请文件确定的事项签订合同，履行双方所签订的合同，并承担合同规定的责任和义务。</w:t>
      </w:r>
    </w:p>
    <w:p>
      <w:pPr>
        <w:pStyle w:val="24"/>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4"/>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4"/>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4"/>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4"/>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4"/>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4"/>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4"/>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4"/>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4"/>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7" w:name="OLE_LINK3"/>
    </w:p>
    <w:bookmarkEnd w:id="27"/>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28" w:name="OLE_LINK26"/>
      <w:r>
        <w:rPr>
          <w:rFonts w:hint="eastAsia" w:ascii="宋体" w:hAnsi="宋体" w:cs="宋体"/>
          <w:kern w:val="0"/>
          <w:sz w:val="24"/>
          <w:szCs w:val="24"/>
        </w:rPr>
        <w:t>询问、质疑、投诉等相关事宜</w:t>
      </w:r>
      <w:bookmarkEnd w:id="28"/>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exact"/>
        <w:rPr>
          <w:rFonts w:ascii="宋体" w:hAnsi="宋体" w:cs="宋体"/>
          <w:b/>
          <w:sz w:val="24"/>
          <w:szCs w:val="24"/>
        </w:rPr>
      </w:pPr>
    </w:p>
    <w:p>
      <w:pPr>
        <w:spacing w:line="360" w:lineRule="exact"/>
        <w:jc w:val="center"/>
        <w:rPr>
          <w:rFonts w:ascii="宋体" w:hAnsi="宋体" w:cs="宋体"/>
          <w:b/>
          <w:sz w:val="32"/>
          <w:szCs w:val="32"/>
        </w:rPr>
      </w:pPr>
    </w:p>
    <w:p>
      <w:pPr>
        <w:jc w:val="left"/>
        <w:rPr>
          <w:rFonts w:ascii="宋体" w:hAnsi="宋体" w:cs="宋体"/>
          <w:b/>
          <w:sz w:val="30"/>
          <w:szCs w:val="30"/>
        </w:rPr>
      </w:pPr>
      <w:r>
        <w:rPr>
          <w:rFonts w:hint="eastAsia" w:ascii="宋体" w:hAnsi="宋体" w:cs="宋体"/>
          <w:b/>
          <w:bCs/>
          <w:sz w:val="24"/>
          <w:szCs w:val="24"/>
        </w:rPr>
        <w:t>注：法定代表人授权委托书应单独准备一份，在开标时进行身份验证时提交。</w:t>
      </w:r>
      <w:r>
        <w:rPr>
          <w:rFonts w:hint="eastAsia" w:ascii="宋体" w:hAnsi="宋体" w:cs="宋体"/>
          <w:b/>
          <w:sz w:val="32"/>
          <w:szCs w:val="32"/>
        </w:rPr>
        <w:br w:type="page"/>
      </w:r>
      <w:r>
        <w:rPr>
          <w:rFonts w:hint="eastAsia" w:ascii="宋体" w:hAnsi="宋体" w:cs="宋体"/>
          <w:b/>
          <w:sz w:val="30"/>
          <w:szCs w:val="30"/>
        </w:rPr>
        <w:t>（二）、谈判保证金缴纳证明材料</w:t>
      </w:r>
    </w:p>
    <w:p>
      <w:pPr>
        <w:pStyle w:val="24"/>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（三）、谈判方的资格证明资料</w:t>
      </w: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4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ascii="宋体" w:hAnsi="宋体" w:cs="宋体"/>
          <w:sz w:val="30"/>
          <w:szCs w:val="30"/>
        </w:rPr>
      </w:pPr>
      <w:r>
        <w:rPr>
          <w:rFonts w:hint="eastAsia" w:ascii="宋体" w:hAnsi="宋体" w:cs="宋体"/>
          <w:sz w:val="30"/>
          <w:szCs w:val="30"/>
        </w:rPr>
        <w:t>附件5      谈判邀请文件规定的特定资格条件证明资料</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w:t>
      </w:r>
      <w:r>
        <w:rPr>
          <w:rFonts w:hint="eastAsia" w:ascii="宋体" w:hAnsi="宋体" w:cs="宋体"/>
          <w:b/>
          <w:sz w:val="30"/>
          <w:szCs w:val="30"/>
          <w:lang w:val="en-US" w:eastAsia="zh-CN"/>
        </w:rPr>
        <w:t>参数</w:t>
      </w:r>
      <w:r>
        <w:rPr>
          <w:rFonts w:hint="eastAsia" w:ascii="宋体" w:hAnsi="宋体" w:cs="宋体"/>
          <w:b/>
          <w:sz w:val="30"/>
          <w:szCs w:val="30"/>
        </w:rPr>
        <w:t>方案及售后服务方案</w:t>
      </w:r>
    </w:p>
    <w:p>
      <w:pPr>
        <w:jc w:val="left"/>
        <w:rPr>
          <w:rFonts w:ascii="宋体" w:hAnsi="宋体" w:cs="宋体"/>
          <w:sz w:val="30"/>
          <w:szCs w:val="30"/>
        </w:rPr>
      </w:pPr>
      <w:r>
        <w:rPr>
          <w:rFonts w:hint="eastAsia" w:ascii="宋体" w:hAnsi="宋体" w:cs="宋体"/>
          <w:sz w:val="30"/>
          <w:szCs w:val="30"/>
        </w:rPr>
        <w:t>附件6    （格式自拟，内容包含但不限于</w:t>
      </w:r>
      <w:r>
        <w:rPr>
          <w:rFonts w:hint="eastAsia" w:ascii="宋体" w:hAnsi="宋体" w:cs="宋体"/>
          <w:color w:val="000000"/>
          <w:sz w:val="30"/>
          <w:szCs w:val="30"/>
          <w:lang w:val="en-US" w:eastAsia="zh-CN"/>
        </w:rPr>
        <w:t>参数</w:t>
      </w:r>
      <w:r>
        <w:rPr>
          <w:rFonts w:hint="eastAsia" w:ascii="宋体" w:hAnsi="宋体" w:cs="宋体"/>
          <w:color w:val="000000"/>
          <w:sz w:val="30"/>
          <w:szCs w:val="30"/>
        </w:rPr>
        <w:t>方案、人员安排、售后服务方案等等</w:t>
      </w:r>
      <w:r>
        <w:rPr>
          <w:rFonts w:hint="eastAsia" w:ascii="宋体" w:hAnsi="宋体" w:cs="宋体"/>
          <w:sz w:val="30"/>
          <w:szCs w:val="30"/>
        </w:rPr>
        <w:t xml:space="preserve">）          </w:t>
      </w: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rPr>
          <w:rFonts w:ascii="宋体" w:hAnsi="宋体" w:cs="宋体"/>
        </w:rPr>
      </w:pPr>
    </w:p>
    <w:p>
      <w:pPr>
        <w:adjustRightInd w:val="0"/>
        <w:snapToGrid w:val="0"/>
        <w:rPr>
          <w:rFonts w:ascii="宋体" w:hAnsi="宋体" w:cs="宋体"/>
        </w:rPr>
      </w:pPr>
    </w:p>
    <w:p>
      <w:pPr>
        <w:adjustRightInd w:val="0"/>
        <w:snapToGrid w:val="0"/>
        <w:spacing w:line="360" w:lineRule="auto"/>
        <w:jc w:val="center"/>
        <w:outlineLvl w:val="0"/>
        <w:rPr>
          <w:rFonts w:ascii="宋体" w:hAnsi="宋体" w:cs="宋体"/>
          <w:b/>
          <w:sz w:val="30"/>
          <w:szCs w:val="30"/>
        </w:rPr>
      </w:pP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bCs/>
          <w:sz w:val="32"/>
          <w:szCs w:val="32"/>
        </w:rPr>
      </w:pPr>
      <w:r>
        <w:rPr>
          <w:rFonts w:hint="eastAsia" w:ascii="宋体" w:hAnsi="宋体" w:cs="宋体"/>
          <w:b/>
          <w:sz w:val="30"/>
          <w:szCs w:val="30"/>
        </w:rPr>
        <w:t>（六）、货物说明一览表</w:t>
      </w:r>
    </w:p>
    <w:tbl>
      <w:tblPr>
        <w:tblStyle w:val="41"/>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rPr>
            </w:pPr>
          </w:p>
        </w:tc>
        <w:tc>
          <w:tcPr>
            <w:tcW w:w="1383" w:type="dxa"/>
            <w:tcBorders>
              <w:bottom w:val="single" w:color="auto" w:sz="4" w:space="0"/>
            </w:tcBorders>
            <w:vAlign w:val="center"/>
          </w:tcPr>
          <w:p>
            <w:pPr>
              <w:adjustRightInd w:val="0"/>
              <w:snapToGrid w:val="0"/>
              <w:ind w:left="-88" w:leftChars="-42"/>
              <w:jc w:val="center"/>
              <w:rPr>
                <w:rFonts w:ascii="宋体" w:hAnsi="宋体" w:cs="宋体"/>
              </w:rPr>
            </w:pPr>
          </w:p>
        </w:tc>
        <w:tc>
          <w:tcPr>
            <w:tcW w:w="1732" w:type="dxa"/>
            <w:tcBorders>
              <w:bottom w:val="single" w:color="auto" w:sz="4" w:space="0"/>
            </w:tcBorders>
            <w:vAlign w:val="center"/>
          </w:tcPr>
          <w:p>
            <w:pPr>
              <w:adjustRightInd w:val="0"/>
              <w:snapToGrid w:val="0"/>
              <w:ind w:left="-88" w:leftChars="-42"/>
              <w:jc w:val="center"/>
              <w:rPr>
                <w:rFonts w:ascii="宋体" w:hAnsi="宋体" w:cs="宋体"/>
              </w:rPr>
            </w:pPr>
          </w:p>
        </w:tc>
        <w:tc>
          <w:tcPr>
            <w:tcW w:w="1558" w:type="dxa"/>
            <w:tcBorders>
              <w:bottom w:val="single" w:color="auto" w:sz="4" w:space="0"/>
            </w:tcBorders>
            <w:vAlign w:val="center"/>
          </w:tcPr>
          <w:p>
            <w:pPr>
              <w:adjustRightInd w:val="0"/>
              <w:snapToGrid w:val="0"/>
              <w:ind w:left="-88" w:leftChars="-42"/>
              <w:jc w:val="center"/>
              <w:rPr>
                <w:rFonts w:ascii="宋体" w:hAnsi="宋体" w:cs="宋体"/>
              </w:rPr>
            </w:pPr>
          </w:p>
        </w:tc>
        <w:tc>
          <w:tcPr>
            <w:tcW w:w="1488" w:type="dxa"/>
            <w:tcBorders>
              <w:bottom w:val="single" w:color="auto" w:sz="4" w:space="0"/>
            </w:tcBorders>
            <w:vAlign w:val="center"/>
          </w:tcPr>
          <w:p>
            <w:pPr>
              <w:adjustRightInd w:val="0"/>
              <w:snapToGrid w:val="0"/>
              <w:ind w:left="-88" w:leftChars="-42"/>
              <w:jc w:val="center"/>
              <w:rPr>
                <w:rFonts w:ascii="宋体" w:hAnsi="宋体" w:cs="宋体"/>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rPr>
            </w:pPr>
          </w:p>
        </w:tc>
      </w:tr>
    </w:tbl>
    <w:p>
      <w:pPr>
        <w:adjustRightInd w:val="0"/>
        <w:snapToGrid w:val="0"/>
        <w:ind w:left="-88" w:leftChars="-42"/>
        <w:rPr>
          <w:rFonts w:ascii="宋体" w:hAnsi="宋体" w:cs="宋体"/>
          <w:bCs/>
          <w:kern w:val="0"/>
        </w:rPr>
      </w:pPr>
    </w:p>
    <w:p>
      <w:pPr>
        <w:spacing w:line="360" w:lineRule="auto"/>
        <w:rPr>
          <w:rFonts w:ascii="宋体" w:hAnsi="宋体" w:cs="宋体"/>
          <w:sz w:val="24"/>
          <w:szCs w:val="24"/>
        </w:rPr>
      </w:pPr>
      <w:r>
        <w:rPr>
          <w:rFonts w:hint="eastAsia" w:ascii="宋体" w:hAnsi="宋体" w:cs="宋体"/>
          <w:sz w:val="24"/>
          <w:szCs w:val="24"/>
        </w:rPr>
        <w:t>备注：将拟用于本项目的货物列出，主要技术参数和技术指标可另页描述。</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rPr>
          <w:rFonts w:ascii="宋体" w:hAnsi="宋体" w:cs="宋体"/>
          <w:b/>
          <w:sz w:val="32"/>
          <w:szCs w:val="24"/>
        </w:rPr>
      </w:pPr>
    </w:p>
    <w:p>
      <w:pPr>
        <w:rPr>
          <w:rFonts w:ascii="宋体" w:hAnsi="宋体" w:cs="宋体"/>
          <w:b/>
          <w:sz w:val="30"/>
          <w:szCs w:val="30"/>
        </w:rPr>
      </w:pPr>
      <w:r>
        <w:rPr>
          <w:rFonts w:hint="eastAsia" w:ascii="宋体" w:hAnsi="宋体" w:cs="宋体"/>
          <w:b/>
          <w:bCs/>
          <w:sz w:val="32"/>
          <w:szCs w:val="32"/>
        </w:rPr>
        <w:br w:type="page"/>
      </w:r>
      <w:r>
        <w:rPr>
          <w:rFonts w:hint="eastAsia" w:ascii="宋体" w:hAnsi="宋体" w:cs="宋体"/>
          <w:b/>
          <w:sz w:val="30"/>
          <w:szCs w:val="30"/>
        </w:rPr>
        <w:t>（七）、报价一览表</w:t>
      </w:r>
    </w:p>
    <w:p>
      <w:pPr>
        <w:jc w:val="left"/>
        <w:rPr>
          <w:rFonts w:ascii="宋体" w:hAnsi="宋体" w:cs="宋体"/>
          <w:sz w:val="30"/>
          <w:szCs w:val="30"/>
        </w:rPr>
      </w:pPr>
      <w:r>
        <w:rPr>
          <w:rFonts w:hint="eastAsia" w:ascii="宋体" w:hAnsi="宋体" w:cs="宋体"/>
          <w:sz w:val="30"/>
          <w:szCs w:val="30"/>
        </w:rPr>
        <w:t>附件7</w:t>
      </w:r>
      <w:r>
        <w:rPr>
          <w:rFonts w:hint="eastAsia" w:ascii="宋体" w:hAnsi="宋体" w:cs="宋体"/>
          <w:sz w:val="30"/>
          <w:szCs w:val="30"/>
        </w:rPr>
        <w:tab/>
      </w:r>
    </w:p>
    <w:p>
      <w:pPr>
        <w:jc w:val="center"/>
        <w:rPr>
          <w:rFonts w:ascii="宋体" w:hAnsi="宋体" w:cs="宋体"/>
          <w:b/>
          <w:sz w:val="30"/>
          <w:szCs w:val="30"/>
        </w:rPr>
      </w:pPr>
      <w:r>
        <w:rPr>
          <w:rFonts w:hint="eastAsia" w:ascii="宋体" w:hAnsi="宋体" w:cs="宋体"/>
          <w:b/>
          <w:sz w:val="30"/>
          <w:szCs w:val="30"/>
        </w:rPr>
        <w:t>报价一览表及报价文件</w:t>
      </w:r>
    </w:p>
    <w:p>
      <w:pPr>
        <w:adjustRightInd w:val="0"/>
        <w:snapToGrid w:val="0"/>
        <w:rPr>
          <w:rFonts w:ascii="宋体" w:hAnsi="宋体" w:cs="宋体"/>
          <w:color w:val="000000"/>
          <w:sz w:val="24"/>
        </w:rPr>
      </w:pP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元人民币整</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rPr>
            </w:pPr>
          </w:p>
        </w:tc>
      </w:tr>
    </w:tbl>
    <w:p>
      <w:pPr>
        <w:adjustRightInd w:val="0"/>
        <w:snapToGrid w:val="0"/>
        <w:spacing w:line="360" w:lineRule="auto"/>
        <w:rPr>
          <w:rFonts w:ascii="宋体" w:hAnsi="宋体" w:cs="宋体"/>
          <w:color w:val="000000"/>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jc w:val="left"/>
        <w:rPr>
          <w:rFonts w:hint="eastAsia" w:ascii="宋体" w:hAnsi="宋体" w:cs="宋体"/>
          <w:sz w:val="30"/>
          <w:szCs w:val="30"/>
        </w:rPr>
      </w:pPr>
    </w:p>
    <w:p>
      <w:pPr>
        <w:numPr>
          <w:ilvl w:val="0"/>
          <w:numId w:val="8"/>
        </w:numPr>
        <w:jc w:val="left"/>
        <w:rPr>
          <w:rFonts w:hint="eastAsia" w:ascii="宋体" w:hAnsi="宋体" w:cs="宋体"/>
          <w:sz w:val="30"/>
          <w:szCs w:val="30"/>
        </w:rPr>
      </w:pPr>
      <w:r>
        <w:rPr>
          <w:rFonts w:hint="eastAsia" w:ascii="宋体" w:hAnsi="宋体" w:cs="宋体"/>
          <w:sz w:val="30"/>
          <w:szCs w:val="30"/>
        </w:rPr>
        <w:t>、供应商认为需提供的其他资料</w:t>
      </w:r>
    </w:p>
    <w:p>
      <w:pPr>
        <w:pStyle w:val="2"/>
        <w:numPr>
          <w:ilvl w:val="0"/>
          <w:numId w:val="0"/>
        </w:numPr>
        <w:rPr>
          <w:rFonts w:hint="default" w:eastAsia="宋体"/>
          <w:lang w:val="en-US" w:eastAsia="zh-CN"/>
        </w:rPr>
      </w:pPr>
      <w:r>
        <w:rPr>
          <w:rFonts w:hint="eastAsia"/>
          <w:lang w:val="en-US" w:eastAsia="zh-CN"/>
        </w:rPr>
        <w:t>易损件报价单（格式自拟，包括不仅限于：名称、品牌、规格型号、单价）</w:t>
      </w:r>
    </w:p>
    <w:p>
      <w:pPr>
        <w:rPr>
          <w:rFonts w:ascii="宋体" w:hAnsi="宋体" w:cs="宋体"/>
          <w:sz w:val="30"/>
          <w:szCs w:val="30"/>
        </w:rPr>
        <w:sectPr>
          <w:headerReference r:id="rId7" w:type="default"/>
          <w:pgSz w:w="11906" w:h="16838"/>
          <w:pgMar w:top="851" w:right="1133" w:bottom="993" w:left="1418" w:header="709" w:footer="120" w:gutter="0"/>
          <w:cols w:space="720" w:num="1"/>
          <w:docGrid w:type="lines" w:linePitch="312" w:charSpace="0"/>
        </w:sectPr>
      </w:pPr>
      <w:r>
        <w:rPr>
          <w:rFonts w:hint="eastAsia" w:ascii="宋体" w:hAnsi="宋体" w:cs="宋体"/>
          <w:sz w:val="30"/>
          <w:szCs w:val="30"/>
        </w:rPr>
        <w:t>附：评审因素中所涉及的材料可附在此</w:t>
      </w:r>
    </w:p>
    <w:bookmarkEnd w:id="11"/>
    <w:bookmarkEnd w:id="16"/>
    <w:bookmarkEnd w:id="17"/>
    <w:bookmarkEnd w:id="18"/>
    <w:bookmarkEnd w:id="19"/>
    <w:p>
      <w:pPr>
        <w:widowControl/>
        <w:jc w:val="center"/>
        <w:textAlignment w:val="center"/>
        <w:rPr>
          <w:rFonts w:ascii="宋体" w:hAnsi="宋体" w:cs="宋体"/>
          <w:b/>
          <w:bCs/>
          <w:color w:val="000000"/>
          <w:kern w:val="0"/>
          <w:sz w:val="32"/>
          <w:szCs w:val="32"/>
        </w:rPr>
      </w:pPr>
    </w:p>
    <w:p>
      <w:pPr>
        <w:rPr>
          <w:lang w:val="zh-CN"/>
        </w:rPr>
      </w:pPr>
    </w:p>
    <w:sectPr>
      <w:pgSz w:w="16838" w:h="11906" w:orient="landscape"/>
      <w:pgMar w:top="1418" w:right="851" w:bottom="1133" w:left="993"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Style w:val="44"/>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 xml:space="preserve">                             </w:t>
    </w:r>
    <w:r>
      <w:rPr>
        <w:rFonts w:hint="eastAsia" w:ascii="宋体" w:hAnsi="宋体" w:cs="宋体"/>
        <w:color w:val="000000"/>
        <w:sz w:val="20"/>
        <w:szCs w:val="20"/>
        <w:u w:val="single"/>
        <w:lang w:val="en-US" w:eastAsia="zh-CN"/>
      </w:rPr>
      <w:t xml:space="preserve">                                              </w:t>
    </w:r>
    <w:r>
      <w:rPr>
        <w:rFonts w:hint="eastAsia" w:ascii="宋体" w:hAnsi="宋体" w:cs="宋体"/>
        <w:color w:val="000000"/>
        <w:sz w:val="20"/>
        <w:szCs w:val="20"/>
        <w:u w:val="single"/>
      </w:rPr>
      <w:t xml:space="preserve">  </w:t>
    </w:r>
    <w:r>
      <w:rPr>
        <w:rFonts w:hint="eastAsia" w:ascii="宋体" w:hAnsi="宋体" w:cs="宋体"/>
        <w:color w:val="000000"/>
        <w:sz w:val="20"/>
        <w:szCs w:val="20"/>
        <w:u w:val="single"/>
        <w:lang w:val="en-US" w:eastAsia="zh-CN"/>
      </w:rPr>
      <w:t>竞争性谈判</w:t>
    </w:r>
    <w:r>
      <w:rPr>
        <w:rFonts w:hint="eastAsia" w:ascii="宋体" w:hAnsi="宋体" w:cs="宋体"/>
        <w:color w:val="000000"/>
        <w:sz w:val="20"/>
        <w:szCs w:val="20"/>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E31D"/>
    <w:multiLevelType w:val="singleLevel"/>
    <w:tmpl w:val="9F38E31D"/>
    <w:lvl w:ilvl="0" w:tentative="0">
      <w:start w:val="1"/>
      <w:numFmt w:val="decimal"/>
      <w:suff w:val="nothing"/>
      <w:lvlText w:val="%1、"/>
      <w:lvlJc w:val="left"/>
    </w:lvl>
  </w:abstractNum>
  <w:abstractNum w:abstractNumId="1">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7"/>
    <w:multiLevelType w:val="multilevel"/>
    <w:tmpl w:val="0000000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8"/>
      <w:lvlText w:val="%2)"/>
      <w:lvlJc w:val="left"/>
      <w:pPr>
        <w:tabs>
          <w:tab w:val="left" w:pos="1522"/>
        </w:tabs>
        <w:ind w:left="1522" w:hanging="420"/>
      </w:pPr>
    </w:lvl>
    <w:lvl w:ilvl="2" w:tentative="0">
      <w:start w:val="1"/>
      <w:numFmt w:val="lowerRoman"/>
      <w:pStyle w:val="9"/>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5">
    <w:nsid w:val="00000018"/>
    <w:multiLevelType w:val="multilevel"/>
    <w:tmpl w:val="000000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EB1B8B7"/>
    <w:multiLevelType w:val="singleLevel"/>
    <w:tmpl w:val="0EB1B8B7"/>
    <w:lvl w:ilvl="0" w:tentative="0">
      <w:start w:val="8"/>
      <w:numFmt w:val="chineseCounting"/>
      <w:suff w:val="nothing"/>
      <w:lvlText w:val="（%1）"/>
      <w:lvlJc w:val="left"/>
      <w:rPr>
        <w:rFonts w:hint="eastAsia"/>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46F0A"/>
    <w:rsid w:val="01CD4145"/>
    <w:rsid w:val="026929FF"/>
    <w:rsid w:val="02B353FD"/>
    <w:rsid w:val="0314419D"/>
    <w:rsid w:val="03A27284"/>
    <w:rsid w:val="03A3674F"/>
    <w:rsid w:val="03C255BA"/>
    <w:rsid w:val="03C4523A"/>
    <w:rsid w:val="03DF6104"/>
    <w:rsid w:val="04452310"/>
    <w:rsid w:val="04457319"/>
    <w:rsid w:val="04862D7A"/>
    <w:rsid w:val="04DD3789"/>
    <w:rsid w:val="055424CE"/>
    <w:rsid w:val="05B5126E"/>
    <w:rsid w:val="05ED58B4"/>
    <w:rsid w:val="0623601E"/>
    <w:rsid w:val="06E573E1"/>
    <w:rsid w:val="07236830"/>
    <w:rsid w:val="07534192"/>
    <w:rsid w:val="0770297D"/>
    <w:rsid w:val="077E0859"/>
    <w:rsid w:val="079F680F"/>
    <w:rsid w:val="07ED5301"/>
    <w:rsid w:val="0814034C"/>
    <w:rsid w:val="086C26E0"/>
    <w:rsid w:val="08822685"/>
    <w:rsid w:val="090048DC"/>
    <w:rsid w:val="09126822"/>
    <w:rsid w:val="09A76BE4"/>
    <w:rsid w:val="0A765FB8"/>
    <w:rsid w:val="0AAC0A11"/>
    <w:rsid w:val="0AC24DB3"/>
    <w:rsid w:val="0B2473D6"/>
    <w:rsid w:val="0B772977"/>
    <w:rsid w:val="0BBA0BCE"/>
    <w:rsid w:val="0BC76BDF"/>
    <w:rsid w:val="0BF91683"/>
    <w:rsid w:val="0C1625AC"/>
    <w:rsid w:val="0C325E99"/>
    <w:rsid w:val="0C3D5924"/>
    <w:rsid w:val="0C5F0057"/>
    <w:rsid w:val="0C9413AC"/>
    <w:rsid w:val="0CE0512D"/>
    <w:rsid w:val="0D173089"/>
    <w:rsid w:val="0D360F65"/>
    <w:rsid w:val="0DBA2892"/>
    <w:rsid w:val="0E09431F"/>
    <w:rsid w:val="0E094689"/>
    <w:rsid w:val="0E7D3C55"/>
    <w:rsid w:val="0E910DDF"/>
    <w:rsid w:val="0F0744BE"/>
    <w:rsid w:val="0F2A282F"/>
    <w:rsid w:val="0F2B146F"/>
    <w:rsid w:val="10F1556B"/>
    <w:rsid w:val="118B5AD6"/>
    <w:rsid w:val="11951A44"/>
    <w:rsid w:val="11A01064"/>
    <w:rsid w:val="11D70154"/>
    <w:rsid w:val="11DF3DD6"/>
    <w:rsid w:val="11EC4876"/>
    <w:rsid w:val="11FB728D"/>
    <w:rsid w:val="11FE2376"/>
    <w:rsid w:val="12180BBD"/>
    <w:rsid w:val="128E407F"/>
    <w:rsid w:val="13515442"/>
    <w:rsid w:val="135350C1"/>
    <w:rsid w:val="13B43E61"/>
    <w:rsid w:val="14214815"/>
    <w:rsid w:val="1457366A"/>
    <w:rsid w:val="14E32355"/>
    <w:rsid w:val="14E44281"/>
    <w:rsid w:val="15044A88"/>
    <w:rsid w:val="150F2E19"/>
    <w:rsid w:val="151927C8"/>
    <w:rsid w:val="15460D75"/>
    <w:rsid w:val="161C08F7"/>
    <w:rsid w:val="162866B2"/>
    <w:rsid w:val="16550F32"/>
    <w:rsid w:val="16723AE7"/>
    <w:rsid w:val="16815279"/>
    <w:rsid w:val="16D03928"/>
    <w:rsid w:val="1702234F"/>
    <w:rsid w:val="17244A82"/>
    <w:rsid w:val="176F60CD"/>
    <w:rsid w:val="17707100"/>
    <w:rsid w:val="177B7ACF"/>
    <w:rsid w:val="178570A5"/>
    <w:rsid w:val="17B50C3A"/>
    <w:rsid w:val="17E4768B"/>
    <w:rsid w:val="182C1E75"/>
    <w:rsid w:val="183A374F"/>
    <w:rsid w:val="18E0605D"/>
    <w:rsid w:val="18EB43EE"/>
    <w:rsid w:val="190C23A4"/>
    <w:rsid w:val="192C06DB"/>
    <w:rsid w:val="194107DC"/>
    <w:rsid w:val="198310E9"/>
    <w:rsid w:val="19AF5431"/>
    <w:rsid w:val="1B6B6A0B"/>
    <w:rsid w:val="1B822DAD"/>
    <w:rsid w:val="1BC269ED"/>
    <w:rsid w:val="1BD73B3C"/>
    <w:rsid w:val="1C095EC5"/>
    <w:rsid w:val="1C2361BA"/>
    <w:rsid w:val="1C395ACC"/>
    <w:rsid w:val="1C3A255C"/>
    <w:rsid w:val="1C912F6B"/>
    <w:rsid w:val="1CE45FB3"/>
    <w:rsid w:val="1D5B1000"/>
    <w:rsid w:val="1D6D2CE9"/>
    <w:rsid w:val="1D776A3D"/>
    <w:rsid w:val="1DA13A27"/>
    <w:rsid w:val="1DBC650F"/>
    <w:rsid w:val="1DBD7BF8"/>
    <w:rsid w:val="1DCB5271"/>
    <w:rsid w:val="1DCC746F"/>
    <w:rsid w:val="1DE13B91"/>
    <w:rsid w:val="1DF60CD6"/>
    <w:rsid w:val="1E264F9C"/>
    <w:rsid w:val="1E422931"/>
    <w:rsid w:val="1F7E26B9"/>
    <w:rsid w:val="1FDF1459"/>
    <w:rsid w:val="20533AAA"/>
    <w:rsid w:val="206D21B4"/>
    <w:rsid w:val="206F6782"/>
    <w:rsid w:val="20C6516C"/>
    <w:rsid w:val="21243CEE"/>
    <w:rsid w:val="21345D4C"/>
    <w:rsid w:val="217B46FD"/>
    <w:rsid w:val="21C76D7B"/>
    <w:rsid w:val="21FE1453"/>
    <w:rsid w:val="222A7289"/>
    <w:rsid w:val="22407BB4"/>
    <w:rsid w:val="22551E62"/>
    <w:rsid w:val="22754915"/>
    <w:rsid w:val="228C453A"/>
    <w:rsid w:val="22BB548D"/>
    <w:rsid w:val="22D66F38"/>
    <w:rsid w:val="2389558B"/>
    <w:rsid w:val="23A52A88"/>
    <w:rsid w:val="24013373"/>
    <w:rsid w:val="242A5B65"/>
    <w:rsid w:val="24A948B4"/>
    <w:rsid w:val="24D40F7C"/>
    <w:rsid w:val="24D50BFC"/>
    <w:rsid w:val="24E06F8D"/>
    <w:rsid w:val="24EB0BA1"/>
    <w:rsid w:val="2616700A"/>
    <w:rsid w:val="26675B0F"/>
    <w:rsid w:val="267E514F"/>
    <w:rsid w:val="269221D6"/>
    <w:rsid w:val="26A768F9"/>
    <w:rsid w:val="26B44315"/>
    <w:rsid w:val="272A364F"/>
    <w:rsid w:val="27355263"/>
    <w:rsid w:val="27356A3A"/>
    <w:rsid w:val="27567996"/>
    <w:rsid w:val="27D74A6C"/>
    <w:rsid w:val="282E547B"/>
    <w:rsid w:val="283C22D6"/>
    <w:rsid w:val="288E4D9E"/>
    <w:rsid w:val="28B45C08"/>
    <w:rsid w:val="293E52B8"/>
    <w:rsid w:val="295E35EE"/>
    <w:rsid w:val="29EC66D5"/>
    <w:rsid w:val="2A181D96"/>
    <w:rsid w:val="2A401481"/>
    <w:rsid w:val="2AAB7F12"/>
    <w:rsid w:val="2AD91557"/>
    <w:rsid w:val="2AFA300F"/>
    <w:rsid w:val="2B3012EB"/>
    <w:rsid w:val="2B4327FE"/>
    <w:rsid w:val="2CE45D6E"/>
    <w:rsid w:val="2CF808D7"/>
    <w:rsid w:val="2D510951"/>
    <w:rsid w:val="2D5A7676"/>
    <w:rsid w:val="2DA2135E"/>
    <w:rsid w:val="2DA9120A"/>
    <w:rsid w:val="2DFD2703"/>
    <w:rsid w:val="2E070A94"/>
    <w:rsid w:val="2E1E4E36"/>
    <w:rsid w:val="2E2B0C67"/>
    <w:rsid w:val="2E930752"/>
    <w:rsid w:val="2EB61B31"/>
    <w:rsid w:val="2F2D4FF3"/>
    <w:rsid w:val="2F5F02F8"/>
    <w:rsid w:val="2F6E12E0"/>
    <w:rsid w:val="30221C48"/>
    <w:rsid w:val="30260A8E"/>
    <w:rsid w:val="30324BAE"/>
    <w:rsid w:val="30AE7E03"/>
    <w:rsid w:val="310B4584"/>
    <w:rsid w:val="31614F93"/>
    <w:rsid w:val="318A1295"/>
    <w:rsid w:val="3198766B"/>
    <w:rsid w:val="31C3321F"/>
    <w:rsid w:val="328714F2"/>
    <w:rsid w:val="32E80292"/>
    <w:rsid w:val="32EE4ECA"/>
    <w:rsid w:val="330865C8"/>
    <w:rsid w:val="3424001A"/>
    <w:rsid w:val="343C609A"/>
    <w:rsid w:val="344757FB"/>
    <w:rsid w:val="34650A83"/>
    <w:rsid w:val="348D6C2A"/>
    <w:rsid w:val="34D542B6"/>
    <w:rsid w:val="35166734"/>
    <w:rsid w:val="36AF5145"/>
    <w:rsid w:val="36B934D6"/>
    <w:rsid w:val="372D1296"/>
    <w:rsid w:val="373B1E9E"/>
    <w:rsid w:val="382B20B3"/>
    <w:rsid w:val="38526A4D"/>
    <w:rsid w:val="38764AB1"/>
    <w:rsid w:val="38F56527"/>
    <w:rsid w:val="39306DB2"/>
    <w:rsid w:val="394F2215"/>
    <w:rsid w:val="397F2830"/>
    <w:rsid w:val="39AE0030"/>
    <w:rsid w:val="39D26F6B"/>
    <w:rsid w:val="3AA12ABC"/>
    <w:rsid w:val="3ACB7183"/>
    <w:rsid w:val="3ACC6586"/>
    <w:rsid w:val="3AEB54BA"/>
    <w:rsid w:val="3B186CD0"/>
    <w:rsid w:val="3BA548E8"/>
    <w:rsid w:val="3C1C362D"/>
    <w:rsid w:val="3C35239A"/>
    <w:rsid w:val="3C7207B9"/>
    <w:rsid w:val="3C775B86"/>
    <w:rsid w:val="3C94676F"/>
    <w:rsid w:val="3CB44AA5"/>
    <w:rsid w:val="3CD05B6F"/>
    <w:rsid w:val="3CE974FE"/>
    <w:rsid w:val="3D007123"/>
    <w:rsid w:val="3D141F11"/>
    <w:rsid w:val="3D294B46"/>
    <w:rsid w:val="3D766728"/>
    <w:rsid w:val="3D8D7C73"/>
    <w:rsid w:val="3DAE0540"/>
    <w:rsid w:val="3E717C39"/>
    <w:rsid w:val="3E9C6B44"/>
    <w:rsid w:val="3EA9521C"/>
    <w:rsid w:val="3F0363B8"/>
    <w:rsid w:val="3F356325"/>
    <w:rsid w:val="3F50359F"/>
    <w:rsid w:val="3F8B424E"/>
    <w:rsid w:val="3F9C2AF1"/>
    <w:rsid w:val="3FE24C5D"/>
    <w:rsid w:val="405939A2"/>
    <w:rsid w:val="408436CF"/>
    <w:rsid w:val="40C50AD3"/>
    <w:rsid w:val="40FE75B8"/>
    <w:rsid w:val="41001153"/>
    <w:rsid w:val="413B57D4"/>
    <w:rsid w:val="41C0096A"/>
    <w:rsid w:val="41CA257F"/>
    <w:rsid w:val="41DF59E2"/>
    <w:rsid w:val="420D1D39"/>
    <w:rsid w:val="427C0E32"/>
    <w:rsid w:val="42A868A9"/>
    <w:rsid w:val="42B749AD"/>
    <w:rsid w:val="42FF5091"/>
    <w:rsid w:val="43251536"/>
    <w:rsid w:val="43BC38D1"/>
    <w:rsid w:val="44185647"/>
    <w:rsid w:val="44A2217F"/>
    <w:rsid w:val="44C2005E"/>
    <w:rsid w:val="457E36C4"/>
    <w:rsid w:val="45DD622C"/>
    <w:rsid w:val="45F2294E"/>
    <w:rsid w:val="4619753B"/>
    <w:rsid w:val="465316EE"/>
    <w:rsid w:val="46B53D11"/>
    <w:rsid w:val="46FB4108"/>
    <w:rsid w:val="47210E42"/>
    <w:rsid w:val="475649F2"/>
    <w:rsid w:val="47725D1E"/>
    <w:rsid w:val="47D01EDF"/>
    <w:rsid w:val="480A2B63"/>
    <w:rsid w:val="487D7A79"/>
    <w:rsid w:val="48D40488"/>
    <w:rsid w:val="49AD5BED"/>
    <w:rsid w:val="49C35B92"/>
    <w:rsid w:val="4AD25D50"/>
    <w:rsid w:val="4ADE3D60"/>
    <w:rsid w:val="4B475260"/>
    <w:rsid w:val="4B4A0E91"/>
    <w:rsid w:val="4B6A71C8"/>
    <w:rsid w:val="4B9F638B"/>
    <w:rsid w:val="4BBB1B11"/>
    <w:rsid w:val="4BCE336E"/>
    <w:rsid w:val="4BED3F1E"/>
    <w:rsid w:val="4C1705E5"/>
    <w:rsid w:val="4C2E4987"/>
    <w:rsid w:val="4C5948D2"/>
    <w:rsid w:val="4C8F3727"/>
    <w:rsid w:val="4CE7046A"/>
    <w:rsid w:val="4CF15D4A"/>
    <w:rsid w:val="4D5F0418"/>
    <w:rsid w:val="4D7D11B1"/>
    <w:rsid w:val="4D9D3843"/>
    <w:rsid w:val="4DE26F3B"/>
    <w:rsid w:val="4E2C69CB"/>
    <w:rsid w:val="4EEE7D8E"/>
    <w:rsid w:val="4F0A596E"/>
    <w:rsid w:val="4F1B40D5"/>
    <w:rsid w:val="4F2B390B"/>
    <w:rsid w:val="4F57079E"/>
    <w:rsid w:val="4F93047F"/>
    <w:rsid w:val="4FB3554D"/>
    <w:rsid w:val="4FBE7162"/>
    <w:rsid w:val="51233E85"/>
    <w:rsid w:val="514172DE"/>
    <w:rsid w:val="51431169"/>
    <w:rsid w:val="518B5E8F"/>
    <w:rsid w:val="51C67537"/>
    <w:rsid w:val="51E754ED"/>
    <w:rsid w:val="51E97187"/>
    <w:rsid w:val="521C7F46"/>
    <w:rsid w:val="53277E51"/>
    <w:rsid w:val="53726FC5"/>
    <w:rsid w:val="538E6B22"/>
    <w:rsid w:val="53E126F6"/>
    <w:rsid w:val="53E57531"/>
    <w:rsid w:val="53F53EE8"/>
    <w:rsid w:val="549C486F"/>
    <w:rsid w:val="549D6CE0"/>
    <w:rsid w:val="556C60B3"/>
    <w:rsid w:val="55AC0AE1"/>
    <w:rsid w:val="55D924DB"/>
    <w:rsid w:val="55F873F7"/>
    <w:rsid w:val="56241FDF"/>
    <w:rsid w:val="56300645"/>
    <w:rsid w:val="564F1F29"/>
    <w:rsid w:val="573F3A30"/>
    <w:rsid w:val="575F1D66"/>
    <w:rsid w:val="57751D0C"/>
    <w:rsid w:val="577F009D"/>
    <w:rsid w:val="577F481A"/>
    <w:rsid w:val="57B62775"/>
    <w:rsid w:val="57C956CF"/>
    <w:rsid w:val="58382EAA"/>
    <w:rsid w:val="585A6F32"/>
    <w:rsid w:val="586E1F24"/>
    <w:rsid w:val="59BA4932"/>
    <w:rsid w:val="59F362D1"/>
    <w:rsid w:val="5A75732A"/>
    <w:rsid w:val="5A8D110A"/>
    <w:rsid w:val="5B1B5005"/>
    <w:rsid w:val="5BD347B4"/>
    <w:rsid w:val="5BF713F2"/>
    <w:rsid w:val="5C1F35AE"/>
    <w:rsid w:val="5C753FBD"/>
    <w:rsid w:val="5CAB2299"/>
    <w:rsid w:val="5CFA62A2"/>
    <w:rsid w:val="5D7A166C"/>
    <w:rsid w:val="5DD04BD2"/>
    <w:rsid w:val="5DDF45CF"/>
    <w:rsid w:val="5E346DD4"/>
    <w:rsid w:val="5E3D71AC"/>
    <w:rsid w:val="5E483371"/>
    <w:rsid w:val="5E687C70"/>
    <w:rsid w:val="5E7B5E41"/>
    <w:rsid w:val="5E7E7C15"/>
    <w:rsid w:val="5E884949"/>
    <w:rsid w:val="5EF16952"/>
    <w:rsid w:val="5F0359E7"/>
    <w:rsid w:val="5F1F1181"/>
    <w:rsid w:val="5F4D5334"/>
    <w:rsid w:val="5F652ED6"/>
    <w:rsid w:val="5F813FC0"/>
    <w:rsid w:val="6029226F"/>
    <w:rsid w:val="605B3923"/>
    <w:rsid w:val="60D422E8"/>
    <w:rsid w:val="610905C4"/>
    <w:rsid w:val="61E324A5"/>
    <w:rsid w:val="629B1C54"/>
    <w:rsid w:val="62C54F90"/>
    <w:rsid w:val="63041F5D"/>
    <w:rsid w:val="63072608"/>
    <w:rsid w:val="631E69AA"/>
    <w:rsid w:val="63D619DB"/>
    <w:rsid w:val="63D66158"/>
    <w:rsid w:val="644C4E9D"/>
    <w:rsid w:val="64C753CD"/>
    <w:rsid w:val="6511265D"/>
    <w:rsid w:val="65474D35"/>
    <w:rsid w:val="660404C6"/>
    <w:rsid w:val="66D91C48"/>
    <w:rsid w:val="682F64A8"/>
    <w:rsid w:val="687529FF"/>
    <w:rsid w:val="68BB1CF6"/>
    <w:rsid w:val="68CC58FB"/>
    <w:rsid w:val="691F077E"/>
    <w:rsid w:val="6945507D"/>
    <w:rsid w:val="6A120191"/>
    <w:rsid w:val="6A3264C7"/>
    <w:rsid w:val="6AE05CC8"/>
    <w:rsid w:val="6B21034E"/>
    <w:rsid w:val="6B760662"/>
    <w:rsid w:val="6BE83356"/>
    <w:rsid w:val="6C1A3DE9"/>
    <w:rsid w:val="6C2A49C0"/>
    <w:rsid w:val="6CC85207"/>
    <w:rsid w:val="6CD23598"/>
    <w:rsid w:val="6D6C15A7"/>
    <w:rsid w:val="6DC04CD2"/>
    <w:rsid w:val="6DC85463"/>
    <w:rsid w:val="6E0D4730"/>
    <w:rsid w:val="6E2F5A53"/>
    <w:rsid w:val="6E442175"/>
    <w:rsid w:val="6E4F0506"/>
    <w:rsid w:val="6E7674F8"/>
    <w:rsid w:val="6ED2525C"/>
    <w:rsid w:val="70AE4B6D"/>
    <w:rsid w:val="70AF47ED"/>
    <w:rsid w:val="70CF72A0"/>
    <w:rsid w:val="7111358D"/>
    <w:rsid w:val="71306870"/>
    <w:rsid w:val="71920663"/>
    <w:rsid w:val="720D1255"/>
    <w:rsid w:val="7220374A"/>
    <w:rsid w:val="722A535E"/>
    <w:rsid w:val="72A1635F"/>
    <w:rsid w:val="72F8122F"/>
    <w:rsid w:val="731971E5"/>
    <w:rsid w:val="732C6967"/>
    <w:rsid w:val="73873F96"/>
    <w:rsid w:val="74275AAB"/>
    <w:rsid w:val="74704EC5"/>
    <w:rsid w:val="74976486"/>
    <w:rsid w:val="74A024E4"/>
    <w:rsid w:val="752F4C9B"/>
    <w:rsid w:val="755E73F2"/>
    <w:rsid w:val="7592308B"/>
    <w:rsid w:val="760630B0"/>
    <w:rsid w:val="76691AD0"/>
    <w:rsid w:val="76A449BB"/>
    <w:rsid w:val="76EA6BA6"/>
    <w:rsid w:val="772B760F"/>
    <w:rsid w:val="77561FB7"/>
    <w:rsid w:val="77F26C0B"/>
    <w:rsid w:val="782F143B"/>
    <w:rsid w:val="78F227FE"/>
    <w:rsid w:val="78F368EE"/>
    <w:rsid w:val="79343267"/>
    <w:rsid w:val="798C38F6"/>
    <w:rsid w:val="7A06011E"/>
    <w:rsid w:val="7A4128EC"/>
    <w:rsid w:val="7A5B64AE"/>
    <w:rsid w:val="7BCA1FA7"/>
    <w:rsid w:val="7BEB7F5D"/>
    <w:rsid w:val="7C00467F"/>
    <w:rsid w:val="7CC072CF"/>
    <w:rsid w:val="7CF51F79"/>
    <w:rsid w:val="7CFA011A"/>
    <w:rsid w:val="7D5316BF"/>
    <w:rsid w:val="7D6507AA"/>
    <w:rsid w:val="7D87797E"/>
    <w:rsid w:val="7E566D52"/>
    <w:rsid w:val="7E5C1E68"/>
    <w:rsid w:val="7E8C502E"/>
    <w:rsid w:val="7ECD5A97"/>
    <w:rsid w:val="7F002A6C"/>
    <w:rsid w:val="7F17514E"/>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8">
    <w:name w:val="heading 2"/>
    <w:basedOn w:val="1"/>
    <w:next w:val="1"/>
    <w:link w:val="50"/>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9">
    <w:name w:val="heading 3"/>
    <w:basedOn w:val="1"/>
    <w:next w:val="1"/>
    <w:link w:val="51"/>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10">
    <w:name w:val="heading 4"/>
    <w:basedOn w:val="1"/>
    <w:next w:val="1"/>
    <w:link w:val="52"/>
    <w:qFormat/>
    <w:uiPriority w:val="99"/>
    <w:pPr>
      <w:keepNext/>
      <w:keepLines/>
      <w:spacing w:line="372" w:lineRule="auto"/>
      <w:outlineLvl w:val="3"/>
    </w:pPr>
    <w:rPr>
      <w:rFonts w:ascii="Arial" w:hAnsi="Arial" w:eastAsia="黑体" w:cs="Arial"/>
      <w:b/>
      <w:bCs/>
      <w:sz w:val="28"/>
      <w:szCs w:val="28"/>
    </w:rPr>
  </w:style>
  <w:style w:type="paragraph" w:styleId="11">
    <w:name w:val="heading 5"/>
    <w:basedOn w:val="1"/>
    <w:next w:val="1"/>
    <w:link w:val="53"/>
    <w:qFormat/>
    <w:uiPriority w:val="99"/>
    <w:pPr>
      <w:keepNext/>
      <w:keepLines/>
      <w:spacing w:line="372" w:lineRule="auto"/>
      <w:outlineLvl w:val="4"/>
    </w:pPr>
    <w:rPr>
      <w:b/>
      <w:bCs/>
      <w:sz w:val="28"/>
      <w:szCs w:val="28"/>
    </w:rPr>
  </w:style>
  <w:style w:type="paragraph" w:styleId="12">
    <w:name w:val="heading 6"/>
    <w:basedOn w:val="1"/>
    <w:next w:val="1"/>
    <w:link w:val="54"/>
    <w:qFormat/>
    <w:uiPriority w:val="99"/>
    <w:pPr>
      <w:keepNext/>
      <w:keepLines/>
      <w:spacing w:line="317" w:lineRule="auto"/>
      <w:outlineLvl w:val="5"/>
    </w:pPr>
    <w:rPr>
      <w:rFonts w:ascii="Arial" w:hAnsi="Arial" w:eastAsia="黑体" w:cs="Arial"/>
      <w:b/>
      <w:bCs/>
      <w:sz w:val="24"/>
      <w:szCs w:val="24"/>
    </w:rPr>
  </w:style>
  <w:style w:type="paragraph" w:styleId="13">
    <w:name w:val="heading 7"/>
    <w:basedOn w:val="1"/>
    <w:next w:val="1"/>
    <w:link w:val="55"/>
    <w:qFormat/>
    <w:uiPriority w:val="99"/>
    <w:pPr>
      <w:keepNext/>
      <w:keepLines/>
      <w:spacing w:line="317" w:lineRule="auto"/>
      <w:outlineLvl w:val="6"/>
    </w:pPr>
    <w:rPr>
      <w:b/>
      <w:bCs/>
      <w:sz w:val="24"/>
      <w:szCs w:val="24"/>
    </w:rPr>
  </w:style>
  <w:style w:type="paragraph" w:styleId="14">
    <w:name w:val="heading 8"/>
    <w:basedOn w:val="1"/>
    <w:next w:val="1"/>
    <w:link w:val="56"/>
    <w:qFormat/>
    <w:uiPriority w:val="99"/>
    <w:pPr>
      <w:keepNext/>
      <w:keepLines/>
      <w:spacing w:line="317" w:lineRule="auto"/>
      <w:outlineLvl w:val="7"/>
    </w:pPr>
    <w:rPr>
      <w:rFonts w:ascii="Arial" w:hAnsi="Arial" w:eastAsia="黑体" w:cs="Arial"/>
      <w:sz w:val="24"/>
      <w:szCs w:val="24"/>
    </w:rPr>
  </w:style>
  <w:style w:type="paragraph" w:styleId="15">
    <w:name w:val="heading 9"/>
    <w:basedOn w:val="1"/>
    <w:next w:val="1"/>
    <w:link w:val="57"/>
    <w:qFormat/>
    <w:uiPriority w:val="99"/>
    <w:pPr>
      <w:keepNext/>
      <w:keepLines/>
      <w:spacing w:line="317" w:lineRule="auto"/>
      <w:outlineLvl w:val="8"/>
    </w:pPr>
    <w:rPr>
      <w:rFonts w:ascii="Arial" w:hAnsi="Arial" w:eastAsia="黑体" w:cs="Arial"/>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2">
    <w:name w:val="标4"/>
    <w:basedOn w:val="3"/>
    <w:next w:val="1"/>
    <w:unhideWhenUsed/>
    <w:qFormat/>
    <w:uiPriority w:val="0"/>
    <w:pPr>
      <w:keepNext/>
      <w:keepLines/>
      <w:spacing w:line="416" w:lineRule="auto"/>
      <w:outlineLvl w:val="3"/>
    </w:pPr>
    <w:rPr>
      <w:rFonts w:hint="eastAsia"/>
      <w:sz w:val="32"/>
      <w:szCs w:val="32"/>
    </w:rPr>
  </w:style>
  <w:style w:type="paragraph" w:customStyle="1" w:styleId="3">
    <w:name w:val="标3"/>
    <w:basedOn w:val="4"/>
    <w:next w:val="1"/>
    <w:unhideWhenUsed/>
    <w:qFormat/>
    <w:uiPriority w:val="0"/>
    <w:pPr>
      <w:spacing w:before="0" w:after="0"/>
      <w:outlineLvl w:val="2"/>
    </w:pPr>
    <w:rPr>
      <w:rFonts w:hint="eastAsia"/>
      <w:sz w:val="24"/>
      <w:szCs w:val="24"/>
    </w:rPr>
  </w:style>
  <w:style w:type="paragraph" w:customStyle="1" w:styleId="4">
    <w:name w:val="标2"/>
    <w:basedOn w:val="5"/>
    <w:unhideWhenUsed/>
    <w:qFormat/>
    <w:uiPriority w:val="0"/>
    <w:pPr>
      <w:spacing w:beforeLines="0" w:afterLines="0"/>
      <w:jc w:val="left"/>
      <w:outlineLvl w:val="1"/>
    </w:pPr>
    <w:rPr>
      <w:rFonts w:hint="eastAsia" w:ascii="宋体" w:hAnsi="宋体"/>
      <w:sz w:val="24"/>
      <w:szCs w:val="24"/>
    </w:rPr>
  </w:style>
  <w:style w:type="paragraph" w:customStyle="1" w:styleId="5">
    <w:name w:val="标1"/>
    <w:basedOn w:val="6"/>
    <w:unhideWhenUsed/>
    <w:qFormat/>
    <w:uiPriority w:val="0"/>
    <w:pPr>
      <w:overflowPunct w:val="0"/>
      <w:adjustRightInd w:val="0"/>
      <w:spacing w:before="360" w:beforeLines="0" w:after="360" w:afterLines="0" w:line="240" w:lineRule="exact"/>
      <w:outlineLvl w:val="0"/>
    </w:pPr>
    <w:rPr>
      <w:rFonts w:hint="default" w:ascii="Arial" w:hAnsi="Arial" w:cs="Arial"/>
      <w:b/>
      <w:kern w:val="24"/>
      <w:sz w:val="24"/>
      <w:szCs w:val="24"/>
    </w:rPr>
  </w:style>
  <w:style w:type="paragraph" w:styleId="6">
    <w:name w:val="Title"/>
    <w:basedOn w:val="1"/>
    <w:next w:val="1"/>
    <w:unhideWhenUsed/>
    <w:qFormat/>
    <w:locked/>
    <w:uiPriority w:val="10"/>
    <w:pPr>
      <w:pBdr>
        <w:bottom w:val="single" w:color="auto" w:sz="4" w:space="1"/>
      </w:pBdr>
      <w:spacing w:beforeLines="0" w:afterLines="0"/>
    </w:pPr>
    <w:rPr>
      <w:rFonts w:hint="default" w:ascii="Cambria" w:hAnsi="Cambria" w:eastAsia="宋体"/>
      <w:spacing w:val="5"/>
      <w:sz w:val="52"/>
      <w:szCs w:val="24"/>
    </w:rPr>
  </w:style>
  <w:style w:type="paragraph" w:styleId="16">
    <w:name w:val="toc 7"/>
    <w:basedOn w:val="1"/>
    <w:next w:val="1"/>
    <w:semiHidden/>
    <w:qFormat/>
    <w:uiPriority w:val="99"/>
    <w:pPr>
      <w:ind w:left="2520" w:leftChars="1200"/>
    </w:pPr>
  </w:style>
  <w:style w:type="paragraph" w:styleId="17">
    <w:name w:val="Document Map"/>
    <w:basedOn w:val="1"/>
    <w:link w:val="58"/>
    <w:semiHidden/>
    <w:qFormat/>
    <w:uiPriority w:val="99"/>
    <w:rPr>
      <w:rFonts w:ascii="宋体" w:cs="宋体"/>
      <w:sz w:val="18"/>
      <w:szCs w:val="18"/>
    </w:rPr>
  </w:style>
  <w:style w:type="paragraph" w:styleId="18">
    <w:name w:val="annotation text"/>
    <w:basedOn w:val="1"/>
    <w:link w:val="59"/>
    <w:semiHidden/>
    <w:qFormat/>
    <w:uiPriority w:val="99"/>
    <w:pPr>
      <w:jc w:val="left"/>
    </w:pPr>
  </w:style>
  <w:style w:type="paragraph" w:styleId="19">
    <w:name w:val="Body Text"/>
    <w:basedOn w:val="1"/>
    <w:link w:val="60"/>
    <w:qFormat/>
    <w:uiPriority w:val="99"/>
    <w:pPr>
      <w:spacing w:after="120"/>
    </w:pPr>
  </w:style>
  <w:style w:type="paragraph" w:styleId="20">
    <w:name w:val="Body Text Indent"/>
    <w:basedOn w:val="1"/>
    <w:next w:val="1"/>
    <w:link w:val="48"/>
    <w:qFormat/>
    <w:uiPriority w:val="99"/>
    <w:pPr>
      <w:ind w:firstLine="480"/>
    </w:pPr>
    <w:rPr>
      <w:rFonts w:ascii="宋体" w:hAnsi="宋体" w:cs="宋体"/>
      <w:sz w:val="30"/>
      <w:szCs w:val="30"/>
    </w:rPr>
  </w:style>
  <w:style w:type="paragraph" w:styleId="21">
    <w:name w:val="Block Text"/>
    <w:basedOn w:val="1"/>
    <w:qFormat/>
    <w:locked/>
    <w:uiPriority w:val="99"/>
    <w:pPr>
      <w:spacing w:line="480" w:lineRule="exact"/>
      <w:ind w:left="525" w:right="17"/>
    </w:pPr>
    <w:rPr>
      <w:rFonts w:ascii="宋体" w:hAnsi="Arial"/>
      <w:sz w:val="24"/>
      <w:szCs w:val="20"/>
    </w:rPr>
  </w:style>
  <w:style w:type="paragraph" w:styleId="22">
    <w:name w:val="toc 5"/>
    <w:basedOn w:val="1"/>
    <w:next w:val="1"/>
    <w:semiHidden/>
    <w:qFormat/>
    <w:uiPriority w:val="99"/>
    <w:pPr>
      <w:ind w:left="1680" w:leftChars="800"/>
    </w:pPr>
  </w:style>
  <w:style w:type="paragraph" w:styleId="23">
    <w:name w:val="toc 3"/>
    <w:basedOn w:val="1"/>
    <w:next w:val="1"/>
    <w:semiHidden/>
    <w:qFormat/>
    <w:uiPriority w:val="99"/>
    <w:pPr>
      <w:ind w:left="840" w:leftChars="400"/>
    </w:pPr>
  </w:style>
  <w:style w:type="paragraph" w:styleId="24">
    <w:name w:val="Plain Text"/>
    <w:basedOn w:val="1"/>
    <w:link w:val="61"/>
    <w:qFormat/>
    <w:uiPriority w:val="0"/>
    <w:rPr>
      <w:rFonts w:ascii="宋体" w:hAnsi="Courier New" w:cs="宋体"/>
    </w:rPr>
  </w:style>
  <w:style w:type="paragraph" w:styleId="25">
    <w:name w:val="toc 8"/>
    <w:basedOn w:val="1"/>
    <w:next w:val="1"/>
    <w:semiHidden/>
    <w:qFormat/>
    <w:uiPriority w:val="99"/>
    <w:pPr>
      <w:ind w:left="2940" w:leftChars="1400"/>
    </w:pPr>
  </w:style>
  <w:style w:type="paragraph" w:styleId="26">
    <w:name w:val="Date"/>
    <w:basedOn w:val="1"/>
    <w:next w:val="1"/>
    <w:link w:val="62"/>
    <w:qFormat/>
    <w:uiPriority w:val="0"/>
    <w:pPr>
      <w:ind w:left="100" w:leftChars="2500"/>
    </w:pPr>
    <w:rPr>
      <w:rFonts w:ascii="楷体_GB2312" w:cs="楷体_GB2312"/>
      <w:sz w:val="36"/>
      <w:szCs w:val="36"/>
    </w:rPr>
  </w:style>
  <w:style w:type="paragraph" w:styleId="27">
    <w:name w:val="Body Text Indent 2"/>
    <w:basedOn w:val="1"/>
    <w:link w:val="63"/>
    <w:qFormat/>
    <w:uiPriority w:val="99"/>
    <w:pPr>
      <w:spacing w:line="400" w:lineRule="exact"/>
      <w:ind w:firstLine="840" w:firstLineChars="400"/>
    </w:pPr>
    <w:rPr>
      <w:rFonts w:ascii="宋体" w:hAnsi="宋体" w:cs="宋体"/>
    </w:rPr>
  </w:style>
  <w:style w:type="paragraph" w:styleId="28">
    <w:name w:val="Balloon Text"/>
    <w:basedOn w:val="1"/>
    <w:link w:val="64"/>
    <w:semiHidden/>
    <w:qFormat/>
    <w:uiPriority w:val="99"/>
    <w:rPr>
      <w:sz w:val="18"/>
      <w:szCs w:val="18"/>
    </w:rPr>
  </w:style>
  <w:style w:type="paragraph" w:styleId="29">
    <w:name w:val="footer"/>
    <w:basedOn w:val="1"/>
    <w:link w:val="65"/>
    <w:qFormat/>
    <w:uiPriority w:val="99"/>
    <w:pPr>
      <w:tabs>
        <w:tab w:val="center" w:pos="4153"/>
        <w:tab w:val="right" w:pos="8306"/>
      </w:tabs>
      <w:snapToGrid w:val="0"/>
      <w:jc w:val="left"/>
    </w:pPr>
    <w:rPr>
      <w:sz w:val="18"/>
      <w:szCs w:val="18"/>
    </w:rPr>
  </w:style>
  <w:style w:type="paragraph" w:styleId="30">
    <w:name w:val="header"/>
    <w:basedOn w:val="1"/>
    <w:link w:val="66"/>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31">
    <w:name w:val="toc 1"/>
    <w:basedOn w:val="1"/>
    <w:next w:val="1"/>
    <w:qFormat/>
    <w:uiPriority w:val="39"/>
  </w:style>
  <w:style w:type="paragraph" w:styleId="32">
    <w:name w:val="toc 4"/>
    <w:basedOn w:val="1"/>
    <w:next w:val="1"/>
    <w:semiHidden/>
    <w:qFormat/>
    <w:uiPriority w:val="99"/>
    <w:pPr>
      <w:ind w:left="1260" w:leftChars="600"/>
    </w:pPr>
  </w:style>
  <w:style w:type="paragraph" w:styleId="33">
    <w:name w:val="toc 6"/>
    <w:basedOn w:val="1"/>
    <w:next w:val="1"/>
    <w:semiHidden/>
    <w:qFormat/>
    <w:uiPriority w:val="99"/>
    <w:pPr>
      <w:ind w:left="2100" w:leftChars="1000"/>
    </w:pPr>
  </w:style>
  <w:style w:type="paragraph" w:styleId="34">
    <w:name w:val="Body Text Indent 3"/>
    <w:basedOn w:val="1"/>
    <w:link w:val="67"/>
    <w:qFormat/>
    <w:uiPriority w:val="99"/>
    <w:pPr>
      <w:spacing w:line="400" w:lineRule="exact"/>
      <w:ind w:left="2" w:leftChars="1"/>
    </w:pPr>
    <w:rPr>
      <w:rFonts w:ascii="宋体" w:hAnsi="宋体" w:cs="宋体"/>
    </w:rPr>
  </w:style>
  <w:style w:type="paragraph" w:styleId="35">
    <w:name w:val="toc 2"/>
    <w:basedOn w:val="1"/>
    <w:next w:val="1"/>
    <w:qFormat/>
    <w:uiPriority w:val="39"/>
    <w:pPr>
      <w:ind w:left="420" w:leftChars="200"/>
    </w:pPr>
  </w:style>
  <w:style w:type="paragraph" w:styleId="36">
    <w:name w:val="toc 9"/>
    <w:basedOn w:val="1"/>
    <w:next w:val="1"/>
    <w:semiHidden/>
    <w:qFormat/>
    <w:uiPriority w:val="99"/>
    <w:pPr>
      <w:ind w:left="3360" w:leftChars="1600"/>
    </w:pPr>
  </w:style>
  <w:style w:type="paragraph" w:styleId="37">
    <w:name w:val="Body Text 2"/>
    <w:basedOn w:val="1"/>
    <w:link w:val="68"/>
    <w:qFormat/>
    <w:uiPriority w:val="99"/>
    <w:rPr>
      <w:rFonts w:ascii="宋体" w:hAnsi="宋体" w:cs="宋体"/>
      <w:sz w:val="30"/>
      <w:szCs w:val="30"/>
    </w:rPr>
  </w:style>
  <w:style w:type="paragraph" w:styleId="38">
    <w:name w:val="Normal (Web)"/>
    <w:basedOn w:val="1"/>
    <w:qFormat/>
    <w:uiPriority w:val="99"/>
    <w:rPr>
      <w:sz w:val="24"/>
      <w:szCs w:val="24"/>
    </w:rPr>
  </w:style>
  <w:style w:type="paragraph" w:styleId="39">
    <w:name w:val="annotation subject"/>
    <w:basedOn w:val="18"/>
    <w:next w:val="18"/>
    <w:link w:val="69"/>
    <w:semiHidden/>
    <w:qFormat/>
    <w:uiPriority w:val="99"/>
    <w:rPr>
      <w:b/>
      <w:bCs/>
    </w:rPr>
  </w:style>
  <w:style w:type="paragraph" w:styleId="40">
    <w:name w:val="Body Text First Indent 2"/>
    <w:basedOn w:val="20"/>
    <w:qFormat/>
    <w:locked/>
    <w:uiPriority w:val="0"/>
    <w:pPr>
      <w:widowControl/>
      <w:spacing w:afterLines="100" w:line="360" w:lineRule="auto"/>
      <w:ind w:left="200" w:firstLine="210" w:firstLineChars="200"/>
      <w:jc w:val="left"/>
    </w:pPr>
    <w:rPr>
      <w:kern w:val="28"/>
      <w:lang w:val="zh-CN"/>
    </w:rPr>
  </w:style>
  <w:style w:type="table" w:styleId="42">
    <w:name w:val="Table Grid"/>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page number"/>
    <w:basedOn w:val="43"/>
    <w:qFormat/>
    <w:uiPriority w:val="99"/>
  </w:style>
  <w:style w:type="character" w:styleId="45">
    <w:name w:val="FollowedHyperlink"/>
    <w:basedOn w:val="43"/>
    <w:qFormat/>
    <w:uiPriority w:val="99"/>
    <w:rPr>
      <w:color w:val="800080"/>
      <w:u w:val="single"/>
    </w:rPr>
  </w:style>
  <w:style w:type="character" w:styleId="46">
    <w:name w:val="Hyperlink"/>
    <w:basedOn w:val="43"/>
    <w:qFormat/>
    <w:uiPriority w:val="99"/>
    <w:rPr>
      <w:color w:val="0000FF"/>
      <w:u w:val="single"/>
    </w:rPr>
  </w:style>
  <w:style w:type="character" w:styleId="47">
    <w:name w:val="annotation reference"/>
    <w:basedOn w:val="43"/>
    <w:semiHidden/>
    <w:qFormat/>
    <w:uiPriority w:val="99"/>
    <w:rPr>
      <w:sz w:val="21"/>
      <w:szCs w:val="21"/>
    </w:rPr>
  </w:style>
  <w:style w:type="character" w:customStyle="1" w:styleId="48">
    <w:name w:val="正文文本缩进 Char"/>
    <w:basedOn w:val="43"/>
    <w:link w:val="20"/>
    <w:semiHidden/>
    <w:qFormat/>
    <w:locked/>
    <w:uiPriority w:val="99"/>
    <w:rPr>
      <w:sz w:val="24"/>
      <w:szCs w:val="24"/>
    </w:rPr>
  </w:style>
  <w:style w:type="character" w:customStyle="1" w:styleId="49">
    <w:name w:val="标题 1 Char"/>
    <w:basedOn w:val="43"/>
    <w:link w:val="7"/>
    <w:qFormat/>
    <w:locked/>
    <w:uiPriority w:val="99"/>
    <w:rPr>
      <w:b/>
      <w:bCs/>
      <w:kern w:val="44"/>
      <w:sz w:val="44"/>
      <w:szCs w:val="44"/>
    </w:rPr>
  </w:style>
  <w:style w:type="character" w:customStyle="1" w:styleId="50">
    <w:name w:val="标题 2 Char"/>
    <w:basedOn w:val="43"/>
    <w:link w:val="8"/>
    <w:qFormat/>
    <w:locked/>
    <w:uiPriority w:val="99"/>
    <w:rPr>
      <w:rFonts w:ascii="Arial" w:hAnsi="Arial" w:eastAsia="黑体" w:cs="Arial"/>
      <w:b/>
      <w:bCs/>
      <w:w w:val="80"/>
      <w:kern w:val="1"/>
      <w:sz w:val="32"/>
      <w:szCs w:val="32"/>
    </w:rPr>
  </w:style>
  <w:style w:type="character" w:customStyle="1" w:styleId="51">
    <w:name w:val="标题 3 Char"/>
    <w:basedOn w:val="43"/>
    <w:link w:val="9"/>
    <w:qFormat/>
    <w:locked/>
    <w:uiPriority w:val="99"/>
    <w:rPr>
      <w:b/>
      <w:bCs/>
      <w:w w:val="80"/>
      <w:kern w:val="1"/>
      <w:sz w:val="32"/>
      <w:szCs w:val="32"/>
    </w:rPr>
  </w:style>
  <w:style w:type="character" w:customStyle="1" w:styleId="52">
    <w:name w:val="标题 4 Char"/>
    <w:basedOn w:val="43"/>
    <w:link w:val="10"/>
    <w:semiHidden/>
    <w:qFormat/>
    <w:locked/>
    <w:uiPriority w:val="99"/>
    <w:rPr>
      <w:rFonts w:ascii="Cambria" w:hAnsi="Cambria" w:eastAsia="宋体" w:cs="Cambria"/>
      <w:b/>
      <w:bCs/>
      <w:sz w:val="28"/>
      <w:szCs w:val="28"/>
    </w:rPr>
  </w:style>
  <w:style w:type="character" w:customStyle="1" w:styleId="53">
    <w:name w:val="标题 5 Char"/>
    <w:basedOn w:val="43"/>
    <w:link w:val="11"/>
    <w:semiHidden/>
    <w:qFormat/>
    <w:locked/>
    <w:uiPriority w:val="99"/>
    <w:rPr>
      <w:b/>
      <w:bCs/>
      <w:sz w:val="28"/>
      <w:szCs w:val="28"/>
    </w:rPr>
  </w:style>
  <w:style w:type="character" w:customStyle="1" w:styleId="54">
    <w:name w:val="标题 6 Char"/>
    <w:basedOn w:val="43"/>
    <w:link w:val="12"/>
    <w:semiHidden/>
    <w:qFormat/>
    <w:locked/>
    <w:uiPriority w:val="99"/>
    <w:rPr>
      <w:rFonts w:ascii="Cambria" w:hAnsi="Cambria" w:eastAsia="宋体" w:cs="Cambria"/>
      <w:b/>
      <w:bCs/>
      <w:sz w:val="24"/>
      <w:szCs w:val="24"/>
    </w:rPr>
  </w:style>
  <w:style w:type="character" w:customStyle="1" w:styleId="55">
    <w:name w:val="标题 7 Char"/>
    <w:basedOn w:val="43"/>
    <w:link w:val="13"/>
    <w:semiHidden/>
    <w:qFormat/>
    <w:locked/>
    <w:uiPriority w:val="99"/>
    <w:rPr>
      <w:b/>
      <w:bCs/>
      <w:sz w:val="24"/>
      <w:szCs w:val="24"/>
    </w:rPr>
  </w:style>
  <w:style w:type="character" w:customStyle="1" w:styleId="56">
    <w:name w:val="标题 8 Char"/>
    <w:basedOn w:val="43"/>
    <w:link w:val="14"/>
    <w:semiHidden/>
    <w:qFormat/>
    <w:locked/>
    <w:uiPriority w:val="99"/>
    <w:rPr>
      <w:rFonts w:ascii="Cambria" w:hAnsi="Cambria" w:eastAsia="宋体" w:cs="Cambria"/>
      <w:sz w:val="24"/>
      <w:szCs w:val="24"/>
    </w:rPr>
  </w:style>
  <w:style w:type="character" w:customStyle="1" w:styleId="57">
    <w:name w:val="标题 9 Char"/>
    <w:basedOn w:val="43"/>
    <w:link w:val="15"/>
    <w:semiHidden/>
    <w:qFormat/>
    <w:locked/>
    <w:uiPriority w:val="99"/>
    <w:rPr>
      <w:rFonts w:ascii="Cambria" w:hAnsi="Cambria" w:eastAsia="宋体" w:cs="Cambria"/>
      <w:sz w:val="21"/>
      <w:szCs w:val="21"/>
    </w:rPr>
  </w:style>
  <w:style w:type="character" w:customStyle="1" w:styleId="58">
    <w:name w:val="文档结构图 Char"/>
    <w:basedOn w:val="43"/>
    <w:link w:val="17"/>
    <w:qFormat/>
    <w:locked/>
    <w:uiPriority w:val="99"/>
    <w:rPr>
      <w:rFonts w:ascii="宋体" w:cs="宋体"/>
      <w:kern w:val="2"/>
      <w:sz w:val="18"/>
      <w:szCs w:val="18"/>
    </w:rPr>
  </w:style>
  <w:style w:type="character" w:customStyle="1" w:styleId="59">
    <w:name w:val="批注文字 Char"/>
    <w:basedOn w:val="43"/>
    <w:link w:val="18"/>
    <w:semiHidden/>
    <w:qFormat/>
    <w:locked/>
    <w:uiPriority w:val="99"/>
    <w:rPr>
      <w:sz w:val="24"/>
      <w:szCs w:val="24"/>
    </w:rPr>
  </w:style>
  <w:style w:type="character" w:customStyle="1" w:styleId="60">
    <w:name w:val="正文文本 Char"/>
    <w:basedOn w:val="43"/>
    <w:link w:val="19"/>
    <w:semiHidden/>
    <w:qFormat/>
    <w:locked/>
    <w:uiPriority w:val="99"/>
    <w:rPr>
      <w:sz w:val="24"/>
      <w:szCs w:val="24"/>
    </w:rPr>
  </w:style>
  <w:style w:type="character" w:customStyle="1" w:styleId="61">
    <w:name w:val="纯文本 Char"/>
    <w:basedOn w:val="43"/>
    <w:link w:val="24"/>
    <w:qFormat/>
    <w:locked/>
    <w:uiPriority w:val="0"/>
    <w:rPr>
      <w:rFonts w:ascii="宋体" w:hAnsi="Courier New" w:cs="宋体"/>
      <w:sz w:val="21"/>
      <w:szCs w:val="21"/>
    </w:rPr>
  </w:style>
  <w:style w:type="character" w:customStyle="1" w:styleId="62">
    <w:name w:val="日期 Char"/>
    <w:basedOn w:val="43"/>
    <w:link w:val="26"/>
    <w:qFormat/>
    <w:locked/>
    <w:uiPriority w:val="0"/>
    <w:rPr>
      <w:sz w:val="24"/>
      <w:szCs w:val="24"/>
    </w:rPr>
  </w:style>
  <w:style w:type="character" w:customStyle="1" w:styleId="63">
    <w:name w:val="正文文本缩进 2 Char"/>
    <w:basedOn w:val="43"/>
    <w:link w:val="27"/>
    <w:semiHidden/>
    <w:qFormat/>
    <w:locked/>
    <w:uiPriority w:val="99"/>
    <w:rPr>
      <w:sz w:val="24"/>
      <w:szCs w:val="24"/>
    </w:rPr>
  </w:style>
  <w:style w:type="character" w:customStyle="1" w:styleId="64">
    <w:name w:val="批注框文本 Char"/>
    <w:basedOn w:val="43"/>
    <w:link w:val="28"/>
    <w:semiHidden/>
    <w:qFormat/>
    <w:locked/>
    <w:uiPriority w:val="99"/>
    <w:rPr>
      <w:sz w:val="2"/>
      <w:szCs w:val="2"/>
    </w:rPr>
  </w:style>
  <w:style w:type="character" w:customStyle="1" w:styleId="65">
    <w:name w:val="页脚 Char"/>
    <w:basedOn w:val="43"/>
    <w:link w:val="29"/>
    <w:qFormat/>
    <w:locked/>
    <w:uiPriority w:val="99"/>
    <w:rPr>
      <w:sz w:val="18"/>
      <w:szCs w:val="18"/>
    </w:rPr>
  </w:style>
  <w:style w:type="character" w:customStyle="1" w:styleId="66">
    <w:name w:val="页眉 Char"/>
    <w:basedOn w:val="43"/>
    <w:link w:val="30"/>
    <w:qFormat/>
    <w:locked/>
    <w:uiPriority w:val="99"/>
    <w:rPr>
      <w:sz w:val="18"/>
      <w:szCs w:val="18"/>
    </w:rPr>
  </w:style>
  <w:style w:type="character" w:customStyle="1" w:styleId="67">
    <w:name w:val="正文文本缩进 3 Char"/>
    <w:basedOn w:val="43"/>
    <w:link w:val="34"/>
    <w:semiHidden/>
    <w:qFormat/>
    <w:locked/>
    <w:uiPriority w:val="99"/>
    <w:rPr>
      <w:sz w:val="16"/>
      <w:szCs w:val="16"/>
    </w:rPr>
  </w:style>
  <w:style w:type="character" w:customStyle="1" w:styleId="68">
    <w:name w:val="正文文本 2 Char"/>
    <w:basedOn w:val="43"/>
    <w:link w:val="37"/>
    <w:semiHidden/>
    <w:qFormat/>
    <w:locked/>
    <w:uiPriority w:val="99"/>
    <w:rPr>
      <w:sz w:val="24"/>
      <w:szCs w:val="24"/>
    </w:rPr>
  </w:style>
  <w:style w:type="character" w:customStyle="1" w:styleId="69">
    <w:name w:val="批注主题 Char"/>
    <w:basedOn w:val="59"/>
    <w:link w:val="39"/>
    <w:semiHidden/>
    <w:qFormat/>
    <w:locked/>
    <w:uiPriority w:val="99"/>
    <w:rPr>
      <w:b/>
      <w:bCs/>
    </w:rPr>
  </w:style>
  <w:style w:type="character" w:customStyle="1" w:styleId="70">
    <w:name w:val="日期 Char1"/>
    <w:qFormat/>
    <w:uiPriority w:val="0"/>
    <w:rPr>
      <w:rFonts w:eastAsia="宋体"/>
      <w:kern w:val="2"/>
      <w:sz w:val="24"/>
      <w:lang w:val="en-US" w:eastAsia="zh-CN" w:bidi="ar-SA"/>
    </w:rPr>
  </w:style>
  <w:style w:type="character" w:customStyle="1" w:styleId="71">
    <w:name w:val="font51"/>
    <w:basedOn w:val="43"/>
    <w:qFormat/>
    <w:uiPriority w:val="0"/>
    <w:rPr>
      <w:rFonts w:hint="eastAsia" w:ascii="宋体" w:hAnsi="宋体" w:eastAsia="宋体" w:cs="宋体"/>
      <w:color w:val="000000"/>
      <w:sz w:val="24"/>
      <w:szCs w:val="24"/>
      <w:u w:val="none"/>
    </w:rPr>
  </w:style>
  <w:style w:type="character" w:customStyle="1" w:styleId="72">
    <w:name w:val="font01"/>
    <w:basedOn w:val="43"/>
    <w:qFormat/>
    <w:uiPriority w:val="0"/>
    <w:rPr>
      <w:rFonts w:hint="eastAsia" w:ascii="宋体" w:hAnsi="宋体" w:eastAsia="宋体" w:cs="宋体"/>
      <w:color w:val="000000"/>
      <w:sz w:val="24"/>
      <w:szCs w:val="24"/>
      <w:u w:val="single"/>
    </w:rPr>
  </w:style>
  <w:style w:type="character" w:customStyle="1" w:styleId="73">
    <w:name w:val="address-info"/>
    <w:basedOn w:val="43"/>
    <w:qFormat/>
    <w:uiPriority w:val="0"/>
  </w:style>
  <w:style w:type="character" w:customStyle="1" w:styleId="74">
    <w:name w:val="font31"/>
    <w:basedOn w:val="43"/>
    <w:qFormat/>
    <w:uiPriority w:val="0"/>
    <w:rPr>
      <w:rFonts w:hint="eastAsia" w:ascii="宋体" w:hAnsi="宋体" w:eastAsia="宋体" w:cs="宋体"/>
      <w:b/>
      <w:color w:val="000000"/>
      <w:sz w:val="24"/>
      <w:szCs w:val="24"/>
      <w:u w:val="none"/>
    </w:rPr>
  </w:style>
  <w:style w:type="character" w:customStyle="1" w:styleId="75">
    <w:name w:val="mh-map_new-info"/>
    <w:basedOn w:val="43"/>
    <w:qFormat/>
    <w:uiPriority w:val="0"/>
  </w:style>
  <w:style w:type="paragraph" w:customStyle="1" w:styleId="76">
    <w:name w:val="Char Char Char Char"/>
    <w:basedOn w:val="1"/>
    <w:qFormat/>
    <w:uiPriority w:val="99"/>
    <w:rPr>
      <w:rFonts w:ascii="Tahoma" w:hAnsi="Tahoma" w:cs="Tahoma"/>
      <w:sz w:val="24"/>
      <w:szCs w:val="24"/>
    </w:rPr>
  </w:style>
  <w:style w:type="paragraph" w:customStyle="1" w:styleId="77">
    <w:name w:val="Char"/>
    <w:basedOn w:val="1"/>
    <w:qFormat/>
    <w:uiPriority w:val="99"/>
  </w:style>
  <w:style w:type="paragraph" w:customStyle="1" w:styleId="78">
    <w:name w:val="标题2+"/>
    <w:basedOn w:val="8"/>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79">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80">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81">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82">
    <w:name w:val="List Paragraph"/>
    <w:basedOn w:val="1"/>
    <w:qFormat/>
    <w:uiPriority w:val="99"/>
    <w:pPr>
      <w:spacing w:line="360" w:lineRule="exact"/>
      <w:ind w:firstLine="420" w:firstLineChars="200"/>
    </w:pPr>
    <w:rPr>
      <w:rFonts w:ascii="Calibri" w:hAnsi="Calibri"/>
      <w:szCs w:val="22"/>
    </w:rPr>
  </w:style>
  <w:style w:type="paragraph" w:customStyle="1" w:styleId="83">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4">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5">
    <w:name w:val="content_1"/>
    <w:qFormat/>
    <w:uiPriority w:val="0"/>
    <w:rPr>
      <w:sz w:val="19"/>
      <w:szCs w:val="19"/>
    </w:rPr>
  </w:style>
  <w:style w:type="paragraph" w:customStyle="1" w:styleId="8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8088</Words>
  <Characters>8916</Characters>
  <Lines>81</Lines>
  <Paragraphs>22</Paragraphs>
  <TotalTime>4</TotalTime>
  <ScaleCrop>false</ScaleCrop>
  <LinksUpToDate>false</LinksUpToDate>
  <CharactersWithSpaces>10259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2023-03-29T08:15:19Z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C4FB937AFE9E4485A9B53F4945759EBC</vt:lpwstr>
  </property>
</Properties>
</file>