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highlight w:val="none"/>
        </w:rPr>
      </w:pPr>
    </w:p>
    <w:p>
      <w:pPr>
        <w:spacing w:beforeLines="100"/>
        <w:jc w:val="center"/>
        <w:rPr>
          <w:rFonts w:ascii="宋体" w:hAnsi="宋体" w:cs="宋体"/>
          <w:b/>
          <w:bCs/>
          <w:sz w:val="72"/>
          <w:szCs w:val="72"/>
          <w:highlight w:val="none"/>
        </w:rPr>
      </w:pPr>
    </w:p>
    <w:p>
      <w:pPr>
        <w:spacing w:beforeLines="100"/>
        <w:jc w:val="center"/>
        <w:rPr>
          <w:rFonts w:ascii="宋体" w:hAnsi="宋体" w:cs="宋体"/>
          <w:b/>
          <w:bCs/>
          <w:sz w:val="72"/>
          <w:szCs w:val="72"/>
          <w:highlight w:val="none"/>
        </w:rPr>
      </w:pPr>
      <w:r>
        <w:rPr>
          <w:rFonts w:hint="eastAsia" w:ascii="宋体" w:hAnsi="宋体" w:cs="宋体"/>
          <w:b/>
          <w:bCs/>
          <w:sz w:val="96"/>
          <w:szCs w:val="96"/>
          <w:highlight w:val="none"/>
        </w:rPr>
        <w:t>谈判邀请文件</w:t>
      </w:r>
    </w:p>
    <w:p>
      <w:pPr>
        <w:tabs>
          <w:tab w:val="left" w:pos="6223"/>
        </w:tabs>
        <w:spacing w:beforeLines="100"/>
        <w:rPr>
          <w:rFonts w:ascii="宋体" w:hAnsi="宋体" w:cs="宋体"/>
          <w:b/>
          <w:bCs/>
          <w:highlight w:val="none"/>
        </w:rPr>
      </w:pPr>
      <w:r>
        <w:rPr>
          <w:rFonts w:hint="eastAsia" w:ascii="宋体" w:hAnsi="宋体" w:cs="宋体"/>
          <w:b/>
          <w:bCs/>
          <w:highlight w:val="none"/>
        </w:rPr>
        <w:tab/>
      </w:r>
    </w:p>
    <w:p>
      <w:pPr>
        <w:jc w:val="center"/>
        <w:rPr>
          <w:rFonts w:ascii="宋体" w:hAnsi="宋体" w:cs="宋体"/>
          <w:highlight w:val="none"/>
        </w:rPr>
      </w:pPr>
    </w:p>
    <w:p>
      <w:pPr>
        <w:ind w:firstLine="1807" w:firstLineChars="600"/>
        <w:rPr>
          <w:rFonts w:ascii="宋体" w:hAnsi="宋体" w:cs="宋体"/>
          <w:b/>
          <w:bCs/>
          <w:sz w:val="30"/>
          <w:szCs w:val="30"/>
          <w:highlight w:val="none"/>
        </w:rPr>
      </w:pPr>
      <w:r>
        <w:rPr>
          <w:rFonts w:hint="eastAsia" w:ascii="宋体" w:hAnsi="宋体" w:cs="宋体"/>
          <w:b/>
          <w:bCs/>
          <w:sz w:val="30"/>
          <w:szCs w:val="30"/>
          <w:highlight w:val="none"/>
        </w:rPr>
        <w:t>邀请人：湖南新五丰股份有限公司永安分公司</w:t>
      </w:r>
    </w:p>
    <w:p>
      <w:pPr>
        <w:ind w:left="3897" w:leftChars="852" w:hanging="2108" w:hangingChars="700"/>
        <w:rPr>
          <w:rFonts w:ascii="宋体" w:hAnsi="宋体" w:cs="宋体"/>
          <w:b/>
          <w:bCs/>
          <w:sz w:val="30"/>
          <w:szCs w:val="30"/>
          <w:highlight w:val="none"/>
        </w:rPr>
      </w:pPr>
      <w:r>
        <w:rPr>
          <w:rFonts w:hint="eastAsia" w:ascii="宋体" w:hAnsi="宋体" w:cs="宋体"/>
          <w:b/>
          <w:bCs/>
          <w:sz w:val="30"/>
          <w:szCs w:val="30"/>
          <w:highlight w:val="none"/>
        </w:rPr>
        <w:t>项  目 名 称：湖南新五丰股份有限公司</w:t>
      </w:r>
      <w:r>
        <w:rPr>
          <w:rFonts w:hint="eastAsia" w:ascii="宋体" w:hAnsi="宋体" w:cs="宋体"/>
          <w:b/>
          <w:bCs/>
          <w:sz w:val="30"/>
          <w:szCs w:val="30"/>
          <w:highlight w:val="none"/>
          <w:lang w:eastAsia="zh-CN"/>
        </w:rPr>
        <w:t>永安分公司污水处理厂电路改造工程</w:t>
      </w: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ind w:right="-867" w:rightChars="-413"/>
        <w:jc w:val="center"/>
        <w:rPr>
          <w:rFonts w:ascii="宋体" w:hAnsi="宋体" w:cs="宋体"/>
          <w:b/>
          <w:bCs/>
          <w:sz w:val="44"/>
          <w:szCs w:val="44"/>
          <w:highlight w:val="none"/>
        </w:rPr>
      </w:pPr>
    </w:p>
    <w:p>
      <w:pPr>
        <w:jc w:val="center"/>
        <w:rPr>
          <w:rFonts w:ascii="宋体" w:hAnsi="宋体" w:cs="宋体"/>
          <w:b/>
          <w:bCs/>
          <w:sz w:val="44"/>
          <w:szCs w:val="44"/>
          <w:highlight w:val="none"/>
        </w:rPr>
      </w:pPr>
    </w:p>
    <w:p>
      <w:pPr>
        <w:pStyle w:val="22"/>
        <w:ind w:left="99" w:leftChars="47"/>
        <w:jc w:val="center"/>
        <w:rPr>
          <w:rFonts w:ascii="宋体" w:hAnsi="宋体" w:cs="宋体"/>
          <w:b/>
          <w:sz w:val="32"/>
          <w:szCs w:val="32"/>
          <w:highlight w:val="none"/>
        </w:rPr>
      </w:pPr>
      <w:r>
        <w:rPr>
          <w:rFonts w:hint="eastAsia" w:ascii="宋体" w:hAnsi="宋体" w:cs="宋体"/>
          <w:b/>
          <w:sz w:val="32"/>
          <w:szCs w:val="32"/>
          <w:highlight w:val="none"/>
        </w:rPr>
        <w:t>202</w:t>
      </w:r>
      <w:r>
        <w:rPr>
          <w:rFonts w:hint="eastAsia" w:ascii="宋体" w:hAnsi="宋体" w:cs="宋体"/>
          <w:b/>
          <w:sz w:val="32"/>
          <w:szCs w:val="32"/>
          <w:highlight w:val="none"/>
          <w:lang w:val="en-US" w:eastAsia="zh-CN"/>
        </w:rPr>
        <w:t>3</w:t>
      </w:r>
      <w:r>
        <w:rPr>
          <w:rFonts w:hint="eastAsia" w:ascii="宋体" w:hAnsi="宋体" w:cs="宋体"/>
          <w:b/>
          <w:sz w:val="32"/>
          <w:szCs w:val="32"/>
          <w:highlight w:val="none"/>
        </w:rPr>
        <w:t>年</w:t>
      </w:r>
      <w:r>
        <w:rPr>
          <w:rFonts w:hint="eastAsia" w:ascii="宋体" w:hAnsi="宋体" w:cs="宋体"/>
          <w:b/>
          <w:sz w:val="32"/>
          <w:szCs w:val="32"/>
          <w:highlight w:val="none"/>
          <w:lang w:val="en-US" w:eastAsia="zh-CN"/>
        </w:rPr>
        <w:t>9</w:t>
      </w:r>
      <w:r>
        <w:rPr>
          <w:rFonts w:hint="eastAsia" w:ascii="宋体" w:hAnsi="宋体" w:cs="宋体"/>
          <w:b/>
          <w:sz w:val="32"/>
          <w:szCs w:val="32"/>
          <w:highlight w:val="none"/>
        </w:rPr>
        <w:t>月</w:t>
      </w:r>
    </w:p>
    <w:p>
      <w:pPr>
        <w:rPr>
          <w:rFonts w:ascii="宋体" w:hAnsi="宋体" w:cs="宋体"/>
          <w:sz w:val="24"/>
          <w:szCs w:val="24"/>
          <w:highlight w:val="none"/>
        </w:rPr>
        <w:sectPr>
          <w:footerReference r:id="rId4" w:type="first"/>
          <w:footerReference r:id="rId3" w:type="default"/>
          <w:pgSz w:w="11906" w:h="16838"/>
          <w:pgMar w:top="1701" w:right="926" w:bottom="1134" w:left="1080" w:header="851"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ascii="宋体" w:hAnsi="宋体" w:cs="宋体"/>
          <w:sz w:val="28"/>
          <w:szCs w:val="28"/>
          <w:highlight w:val="none"/>
        </w:rPr>
      </w:pPr>
    </w:p>
    <w:p>
      <w:pPr>
        <w:jc w:val="center"/>
        <w:rPr>
          <w:rFonts w:ascii="宋体" w:hAnsi="宋体" w:cs="宋体"/>
          <w:sz w:val="28"/>
          <w:szCs w:val="28"/>
          <w:highlight w:val="none"/>
        </w:rPr>
      </w:pPr>
      <w:r>
        <w:rPr>
          <w:rFonts w:hint="eastAsia" w:ascii="宋体" w:hAnsi="宋体" w:cs="宋体"/>
          <w:sz w:val="28"/>
          <w:szCs w:val="28"/>
          <w:highlight w:val="none"/>
        </w:rPr>
        <w:t xml:space="preserve">目      录 </w:t>
      </w:r>
    </w:p>
    <w:p>
      <w:pPr>
        <w:rPr>
          <w:sz w:val="28"/>
          <w:szCs w:val="28"/>
          <w:highlight w:val="none"/>
        </w:rPr>
      </w:pPr>
      <w:bookmarkStart w:id="0" w:name="_Toc16238"/>
      <w:bookmarkStart w:id="1" w:name="_Toc32556"/>
      <w:r>
        <w:rPr>
          <w:rFonts w:hint="eastAsia"/>
          <w:sz w:val="28"/>
          <w:szCs w:val="28"/>
          <w:highlight w:val="none"/>
        </w:rPr>
        <w:t>第一章  谈判邀请</w:t>
      </w:r>
    </w:p>
    <w:p>
      <w:pPr>
        <w:rPr>
          <w:sz w:val="28"/>
          <w:szCs w:val="28"/>
          <w:highlight w:val="none"/>
        </w:rPr>
      </w:pPr>
      <w:r>
        <w:rPr>
          <w:rFonts w:hint="eastAsia"/>
          <w:sz w:val="28"/>
          <w:szCs w:val="28"/>
          <w:highlight w:val="none"/>
        </w:rPr>
        <w:t>第二章  谈判办法</w:t>
      </w:r>
    </w:p>
    <w:p>
      <w:pPr>
        <w:rPr>
          <w:sz w:val="28"/>
          <w:szCs w:val="28"/>
          <w:highlight w:val="none"/>
        </w:rPr>
      </w:pPr>
      <w:r>
        <w:rPr>
          <w:rFonts w:hint="eastAsia"/>
          <w:sz w:val="28"/>
          <w:szCs w:val="28"/>
          <w:highlight w:val="none"/>
        </w:rPr>
        <w:t>第三章  需求及说明</w:t>
      </w:r>
    </w:p>
    <w:p>
      <w:pPr>
        <w:rPr>
          <w:sz w:val="28"/>
          <w:szCs w:val="28"/>
          <w:highlight w:val="none"/>
        </w:rPr>
      </w:pPr>
      <w:r>
        <w:rPr>
          <w:rFonts w:hint="eastAsia"/>
          <w:sz w:val="28"/>
          <w:szCs w:val="28"/>
          <w:highlight w:val="none"/>
        </w:rPr>
        <w:t>第四章  合同条款及格式</w:t>
      </w:r>
    </w:p>
    <w:p>
      <w:pPr>
        <w:rPr>
          <w:sz w:val="28"/>
          <w:szCs w:val="28"/>
          <w:highlight w:val="none"/>
        </w:rPr>
      </w:pPr>
      <w:r>
        <w:rPr>
          <w:rFonts w:hint="eastAsia"/>
          <w:sz w:val="28"/>
          <w:szCs w:val="28"/>
          <w:highlight w:val="none"/>
        </w:rPr>
        <w:t>第五章  谈判响应文件编制</w:t>
      </w:r>
    </w:p>
    <w:p>
      <w:pPr>
        <w:rPr>
          <w:sz w:val="28"/>
          <w:szCs w:val="28"/>
          <w:highlight w:val="none"/>
        </w:rPr>
      </w:pPr>
      <w:r>
        <w:rPr>
          <w:rFonts w:hint="eastAsia"/>
          <w:sz w:val="28"/>
          <w:szCs w:val="28"/>
          <w:highlight w:val="none"/>
        </w:rPr>
        <w:t>第六章  谈判响应文件组成</w:t>
      </w:r>
    </w:p>
    <w:p>
      <w:pPr>
        <w:pStyle w:val="2"/>
        <w:spacing w:after="312"/>
        <w:ind w:left="0" w:firstLine="0" w:firstLineChars="0"/>
        <w:rPr>
          <w:rFonts w:ascii="Times New Roman" w:hAnsi="Times New Roman" w:cs="Times New Roman"/>
          <w:kern w:val="2"/>
          <w:sz w:val="28"/>
          <w:szCs w:val="28"/>
          <w:highlight w:val="none"/>
          <w:lang w:val="en-US"/>
        </w:rPr>
      </w:pPr>
      <w:r>
        <w:rPr>
          <w:rFonts w:hint="eastAsia" w:ascii="Times New Roman" w:hAnsi="Times New Roman" w:cs="Times New Roman"/>
          <w:kern w:val="2"/>
          <w:sz w:val="28"/>
          <w:szCs w:val="28"/>
          <w:highlight w:val="none"/>
          <w:lang w:val="en-US"/>
        </w:rPr>
        <w:t>第七章  工程量清单</w:t>
      </w:r>
    </w:p>
    <w:p>
      <w:pPr>
        <w:rPr>
          <w:highlight w:val="none"/>
        </w:rPr>
      </w:pPr>
    </w:p>
    <w:p>
      <w:pPr>
        <w:rPr>
          <w:highlight w:val="none"/>
        </w:rPr>
        <w:sectPr>
          <w:headerReference r:id="rId5" w:type="default"/>
          <w:footerReference r:id="rId6" w:type="default"/>
          <w:pgSz w:w="11906" w:h="16838"/>
          <w:pgMar w:top="851" w:right="1133" w:bottom="993" w:left="1418" w:header="709" w:footer="120" w:gutter="0"/>
          <w:pgBorders>
            <w:top w:val="none" w:sz="0" w:space="0"/>
            <w:left w:val="none" w:sz="0" w:space="0"/>
            <w:bottom w:val="none" w:sz="0" w:space="0"/>
            <w:right w:val="none" w:sz="0" w:space="0"/>
          </w:pgBorders>
          <w:pgNumType w:start="1"/>
          <w:cols w:space="720" w:num="1"/>
          <w:titlePg/>
          <w:docGrid w:type="lines" w:linePitch="312" w:charSpace="0"/>
        </w:sectPr>
      </w:pPr>
    </w:p>
    <w:p>
      <w:pPr>
        <w:pStyle w:val="4"/>
        <w:spacing w:line="560" w:lineRule="exact"/>
        <w:jc w:val="center"/>
        <w:rPr>
          <w:rFonts w:ascii="宋体" w:hAnsi="宋体" w:cs="宋体"/>
          <w:sz w:val="32"/>
          <w:szCs w:val="32"/>
          <w:highlight w:val="none"/>
        </w:rPr>
      </w:pPr>
      <w:bookmarkStart w:id="2" w:name="_Toc7848"/>
      <w:r>
        <w:rPr>
          <w:rFonts w:hint="eastAsia" w:ascii="宋体" w:hAnsi="宋体" w:cs="宋体"/>
          <w:sz w:val="32"/>
          <w:szCs w:val="32"/>
          <w:highlight w:val="none"/>
        </w:rPr>
        <w:t>第一章  谈判邀请</w:t>
      </w:r>
      <w:bookmarkEnd w:id="0"/>
      <w:bookmarkEnd w:id="1"/>
      <w:bookmarkEnd w:id="2"/>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u w:val="single"/>
        </w:rPr>
        <w:t>湖南新五丰股份有限公司永安分公司</w:t>
      </w:r>
      <w:r>
        <w:rPr>
          <w:rFonts w:hint="eastAsia" w:ascii="宋体" w:hAnsi="宋体" w:cs="宋体"/>
          <w:sz w:val="24"/>
          <w:szCs w:val="24"/>
          <w:highlight w:val="none"/>
          <w:u w:val="single"/>
          <w:lang w:eastAsia="zh-CN"/>
        </w:rPr>
        <w:t>污水处理厂电路改造工程项目</w:t>
      </w:r>
      <w:r>
        <w:rPr>
          <w:rFonts w:hint="eastAsia" w:ascii="宋体" w:hAnsi="宋体" w:cs="宋体"/>
          <w:sz w:val="24"/>
          <w:szCs w:val="24"/>
          <w:highlight w:val="none"/>
        </w:rPr>
        <w:t>已获湖南新五丰股份有限公司批准，现对该项目实施由本公司组织谈判。</w:t>
      </w:r>
    </w:p>
    <w:p>
      <w:pPr>
        <w:spacing w:line="360" w:lineRule="auto"/>
        <w:rPr>
          <w:rFonts w:ascii="宋体" w:hAnsi="宋体" w:cs="宋体"/>
          <w:sz w:val="24"/>
          <w:szCs w:val="24"/>
          <w:highlight w:val="none"/>
        </w:rPr>
      </w:pPr>
      <w:r>
        <w:rPr>
          <w:rFonts w:hint="eastAsia" w:ascii="宋体" w:hAnsi="宋体" w:cs="宋体"/>
          <w:b/>
          <w:sz w:val="24"/>
          <w:szCs w:val="24"/>
          <w:highlight w:val="none"/>
        </w:rPr>
        <w:t>1、谈判项目名称：</w:t>
      </w:r>
      <w:r>
        <w:rPr>
          <w:rFonts w:hint="eastAsia" w:ascii="宋体" w:hAnsi="宋体" w:cs="宋体"/>
          <w:sz w:val="24"/>
          <w:szCs w:val="24"/>
          <w:highlight w:val="none"/>
        </w:rPr>
        <w:t xml:space="preserve">  湖南新五丰股份有限公司永安分公司</w:t>
      </w:r>
      <w:r>
        <w:rPr>
          <w:rFonts w:hint="eastAsia" w:ascii="宋体" w:hAnsi="宋体" w:cs="宋体"/>
          <w:sz w:val="24"/>
          <w:szCs w:val="24"/>
          <w:highlight w:val="none"/>
          <w:lang w:eastAsia="zh-CN"/>
        </w:rPr>
        <w:t>污水处理厂电路改造</w:t>
      </w:r>
      <w:r>
        <w:rPr>
          <w:rFonts w:hint="eastAsia" w:ascii="宋体" w:hAnsi="宋体" w:cs="宋体"/>
          <w:sz w:val="24"/>
          <w:szCs w:val="24"/>
          <w:highlight w:val="none"/>
        </w:rPr>
        <w:t>工程</w:t>
      </w:r>
    </w:p>
    <w:p>
      <w:pPr>
        <w:spacing w:line="360" w:lineRule="auto"/>
        <w:rPr>
          <w:rFonts w:ascii="宋体" w:hAnsi="宋体" w:cs="宋体"/>
          <w:bCs/>
          <w:sz w:val="24"/>
          <w:szCs w:val="24"/>
          <w:highlight w:val="none"/>
        </w:rPr>
      </w:pPr>
      <w:r>
        <w:rPr>
          <w:rFonts w:hint="eastAsia" w:ascii="宋体" w:hAnsi="宋体" w:cs="宋体"/>
          <w:b/>
          <w:sz w:val="24"/>
          <w:szCs w:val="24"/>
          <w:highlight w:val="none"/>
        </w:rPr>
        <w:t>2、项目预算：350340.89元</w:t>
      </w:r>
      <w:r>
        <w:rPr>
          <w:rFonts w:hint="eastAsia" w:ascii="宋体" w:hAnsi="宋体" w:cs="宋体"/>
          <w:bCs/>
          <w:sz w:val="24"/>
          <w:szCs w:val="24"/>
          <w:highlight w:val="none"/>
        </w:rPr>
        <w:t>；</w:t>
      </w:r>
    </w:p>
    <w:p>
      <w:pPr>
        <w:spacing w:line="360" w:lineRule="auto"/>
        <w:ind w:firstLine="361" w:firstLineChars="150"/>
        <w:rPr>
          <w:rFonts w:ascii="宋体" w:hAnsi="宋体" w:cs="宋体"/>
          <w:sz w:val="24"/>
          <w:szCs w:val="24"/>
          <w:highlight w:val="none"/>
        </w:rPr>
      </w:pPr>
      <w:r>
        <w:rPr>
          <w:rFonts w:hint="eastAsia" w:ascii="宋体" w:hAnsi="宋体" w:cs="宋体"/>
          <w:b/>
          <w:sz w:val="24"/>
          <w:szCs w:val="24"/>
          <w:highlight w:val="none"/>
        </w:rPr>
        <w:t>工期要求：</w:t>
      </w:r>
      <w:r>
        <w:rPr>
          <w:rFonts w:hint="eastAsia" w:ascii="宋体" w:hAnsi="宋体" w:cs="宋体"/>
          <w:sz w:val="24"/>
          <w:szCs w:val="24"/>
          <w:highlight w:val="none"/>
          <w:lang w:val="en-US" w:eastAsia="zh-CN"/>
        </w:rPr>
        <w:t>45</w:t>
      </w:r>
      <w:r>
        <w:rPr>
          <w:rFonts w:hint="eastAsia" w:ascii="宋体" w:hAnsi="宋体" w:cs="宋体"/>
          <w:sz w:val="24"/>
          <w:szCs w:val="24"/>
          <w:highlight w:val="none"/>
        </w:rPr>
        <w:t>天；</w:t>
      </w:r>
    </w:p>
    <w:p>
      <w:pPr>
        <w:spacing w:line="360" w:lineRule="auto"/>
        <w:ind w:firstLine="361" w:firstLineChars="150"/>
        <w:rPr>
          <w:rFonts w:ascii="宋体" w:hAnsi="宋体" w:cs="宋体"/>
          <w:sz w:val="24"/>
          <w:szCs w:val="24"/>
          <w:highlight w:val="none"/>
        </w:rPr>
      </w:pPr>
      <w:r>
        <w:rPr>
          <w:rFonts w:hint="eastAsia" w:ascii="宋体" w:hAnsi="宋体" w:cs="宋体"/>
          <w:b/>
          <w:sz w:val="24"/>
          <w:szCs w:val="24"/>
          <w:highlight w:val="none"/>
        </w:rPr>
        <w:t>项目地点：</w:t>
      </w:r>
      <w:r>
        <w:rPr>
          <w:rFonts w:hint="eastAsia" w:ascii="宋体" w:hAnsi="宋体" w:cs="宋体"/>
          <w:sz w:val="24"/>
          <w:szCs w:val="24"/>
          <w:highlight w:val="none"/>
        </w:rPr>
        <w:t>湖南新五丰股份有限公司永安分公司场内</w:t>
      </w:r>
      <w:r>
        <w:rPr>
          <w:rFonts w:hint="eastAsia" w:ascii="宋体" w:hAnsi="宋体" w:cs="宋体"/>
          <w:b/>
          <w:sz w:val="24"/>
          <w:szCs w:val="24"/>
          <w:highlight w:val="none"/>
        </w:rPr>
        <w:tab/>
      </w:r>
    </w:p>
    <w:p>
      <w:pPr>
        <w:spacing w:line="360" w:lineRule="auto"/>
        <w:rPr>
          <w:rFonts w:ascii="宋体" w:hAnsi="宋体" w:cs="宋体"/>
          <w:b/>
          <w:sz w:val="24"/>
          <w:szCs w:val="24"/>
          <w:highlight w:val="none"/>
        </w:rPr>
      </w:pPr>
      <w:r>
        <w:rPr>
          <w:rFonts w:hint="eastAsia" w:ascii="宋体" w:hAnsi="宋体" w:cs="宋体"/>
          <w:b/>
          <w:sz w:val="24"/>
          <w:szCs w:val="24"/>
          <w:highlight w:val="none"/>
        </w:rPr>
        <w:t>3、供应商资格要求：</w:t>
      </w:r>
    </w:p>
    <w:p>
      <w:pPr>
        <w:spacing w:line="360" w:lineRule="auto"/>
        <w:rPr>
          <w:rFonts w:ascii="宋体" w:hAnsi="宋体" w:cs="宋体"/>
          <w:sz w:val="24"/>
          <w:szCs w:val="24"/>
          <w:highlight w:val="none"/>
        </w:rPr>
      </w:pPr>
      <w:r>
        <w:rPr>
          <w:rFonts w:hint="eastAsia" w:ascii="宋体" w:hAnsi="宋体" w:cs="宋体"/>
          <w:sz w:val="24"/>
          <w:szCs w:val="24"/>
          <w:highlight w:val="none"/>
        </w:rPr>
        <w:t>供应商需提供以下资格证明文件：</w:t>
      </w:r>
    </w:p>
    <w:p>
      <w:pPr>
        <w:spacing w:line="360" w:lineRule="auto"/>
        <w:rPr>
          <w:rFonts w:ascii="宋体" w:hAnsi="宋体" w:cs="宋体"/>
          <w:sz w:val="24"/>
          <w:szCs w:val="24"/>
          <w:highlight w:val="none"/>
        </w:rPr>
      </w:pPr>
      <w:r>
        <w:rPr>
          <w:rFonts w:hint="eastAsia" w:ascii="宋体" w:hAnsi="宋体" w:cs="宋体"/>
          <w:sz w:val="24"/>
          <w:szCs w:val="24"/>
          <w:highlight w:val="none"/>
        </w:rPr>
        <w:t>（1）法人提交企业法人营业执照副本复印件；</w:t>
      </w:r>
    </w:p>
    <w:p>
      <w:pPr>
        <w:spacing w:line="360" w:lineRule="auto"/>
        <w:rPr>
          <w:rFonts w:ascii="宋体" w:hAnsi="宋体" w:cs="宋体"/>
          <w:sz w:val="24"/>
          <w:szCs w:val="24"/>
          <w:highlight w:val="none"/>
        </w:rPr>
      </w:pPr>
      <w:r>
        <w:rPr>
          <w:rFonts w:hint="eastAsia" w:ascii="宋体" w:hAnsi="宋体" w:cs="宋体"/>
          <w:sz w:val="24"/>
          <w:szCs w:val="24"/>
          <w:highlight w:val="none"/>
        </w:rPr>
        <w:t>（2）法人提交法定代表人身份证明原件或者法定代表人授权委托书原件。</w:t>
      </w:r>
    </w:p>
    <w:p>
      <w:pPr>
        <w:spacing w:line="360" w:lineRule="auto"/>
        <w:rPr>
          <w:rFonts w:hint="eastAsia" w:ascii="宋体" w:hAnsi="宋体" w:cs="宋体"/>
          <w:b/>
          <w:bCs/>
          <w:sz w:val="24"/>
          <w:szCs w:val="24"/>
          <w:highlight w:val="none"/>
          <w:lang w:eastAsia="zh-CN"/>
        </w:rPr>
      </w:pPr>
      <w:r>
        <w:rPr>
          <w:rFonts w:hint="eastAsia" w:ascii="宋体" w:hAnsi="宋体" w:cs="宋体"/>
          <w:sz w:val="24"/>
          <w:szCs w:val="24"/>
          <w:highlight w:val="none"/>
        </w:rPr>
        <w:t>（3）供应商特定资格条件：</w:t>
      </w:r>
      <w:r>
        <w:rPr>
          <w:rFonts w:hint="eastAsia" w:ascii="宋体" w:hAnsi="宋体" w:cs="宋体"/>
          <w:b/>
          <w:bCs/>
          <w:sz w:val="24"/>
          <w:szCs w:val="24"/>
          <w:highlight w:val="none"/>
        </w:rPr>
        <w:t>具有</w:t>
      </w:r>
      <w:r>
        <w:rPr>
          <w:rFonts w:hint="eastAsia" w:ascii="宋体" w:hAnsi="宋体" w:cs="宋体"/>
          <w:b/>
          <w:bCs/>
          <w:sz w:val="24"/>
          <w:szCs w:val="24"/>
          <w:highlight w:val="none"/>
          <w:lang w:val="en-US" w:eastAsia="zh-CN"/>
        </w:rPr>
        <w:t>环保设施设备维护修理方面资质</w:t>
      </w:r>
      <w:r>
        <w:rPr>
          <w:rFonts w:hint="eastAsia" w:ascii="宋体" w:hAnsi="宋体" w:cs="宋体"/>
          <w:b/>
          <w:bCs/>
          <w:sz w:val="24"/>
          <w:szCs w:val="24"/>
          <w:highlight w:val="none"/>
          <w:lang w:eastAsia="zh-CN"/>
        </w:rPr>
        <w:t>。</w:t>
      </w:r>
    </w:p>
    <w:p>
      <w:pPr>
        <w:spacing w:line="360" w:lineRule="auto"/>
        <w:rPr>
          <w:sz w:val="24"/>
          <w:szCs w:val="24"/>
          <w:highlight w:val="none"/>
        </w:rPr>
      </w:pPr>
      <w:r>
        <w:rPr>
          <w:rFonts w:hint="eastAsia"/>
          <w:b/>
          <w:bCs/>
          <w:kern w:val="0"/>
          <w:sz w:val="24"/>
          <w:szCs w:val="24"/>
          <w:highlight w:val="none"/>
          <w:lang w:val="en-US"/>
        </w:rPr>
        <w:t>4、谈判邀请文件获取：</w:t>
      </w:r>
      <w:bookmarkStart w:id="3" w:name="_Hlk515127750"/>
      <w:r>
        <w:rPr>
          <w:rFonts w:hint="eastAsia"/>
          <w:sz w:val="24"/>
          <w:szCs w:val="24"/>
          <w:highlight w:val="none"/>
        </w:rPr>
        <w:t>凡符合谈判资格要求并有意参加谈判者，</w:t>
      </w:r>
      <w:r>
        <w:rPr>
          <w:rFonts w:hint="eastAsia" w:ascii="宋体" w:hAnsi="宋体" w:eastAsia="宋体" w:cs="宋体"/>
          <w:kern w:val="2"/>
          <w:sz w:val="24"/>
          <w:szCs w:val="24"/>
          <w:highlight w:val="none"/>
          <w:lang w:val="en-US" w:eastAsia="zh-CN" w:bidi="ar-SA"/>
        </w:rPr>
        <w:t>请于2023年</w:t>
      </w:r>
      <w:r>
        <w:rPr>
          <w:rFonts w:hint="eastAsia" w:ascii="宋体" w:hAnsi="宋体" w:cs="宋体"/>
          <w:kern w:val="2"/>
          <w:sz w:val="24"/>
          <w:szCs w:val="24"/>
          <w:highlight w:val="none"/>
          <w:lang w:val="en-US" w:eastAsia="zh-CN" w:bidi="ar-SA"/>
        </w:rPr>
        <w:t>9</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12</w:t>
      </w:r>
      <w:r>
        <w:rPr>
          <w:rFonts w:hint="eastAsia" w:ascii="宋体" w:hAnsi="宋体" w:eastAsia="宋体" w:cs="宋体"/>
          <w:kern w:val="2"/>
          <w:sz w:val="24"/>
          <w:szCs w:val="24"/>
          <w:highlight w:val="none"/>
          <w:lang w:val="en-US" w:eastAsia="zh-CN" w:bidi="ar-SA"/>
        </w:rPr>
        <w:t>日起</w:t>
      </w:r>
      <w:r>
        <w:rPr>
          <w:rFonts w:hint="eastAsia" w:ascii="宋体" w:hAnsi="宋体" w:cs="宋体"/>
          <w:sz w:val="24"/>
          <w:szCs w:val="24"/>
          <w:highlight w:val="none"/>
          <w:lang w:val="en-US" w:eastAsia="zh-CN"/>
        </w:rPr>
        <w:t>从湖南新五丰股份有限公司网站（</w:t>
      </w:r>
      <w:r>
        <w:rPr>
          <w:rFonts w:hint="eastAsia" w:ascii="宋体" w:hAnsi="宋体" w:cs="宋体"/>
          <w:sz w:val="24"/>
          <w:szCs w:val="24"/>
          <w:highlight w:val="none"/>
          <w:lang w:val="en-US" w:eastAsia="zh-CN"/>
        </w:rPr>
        <w:fldChar w:fldCharType="begin"/>
      </w:r>
      <w:r>
        <w:rPr>
          <w:rFonts w:hint="eastAsia" w:ascii="宋体" w:hAnsi="宋体" w:cs="宋体"/>
          <w:sz w:val="24"/>
          <w:szCs w:val="24"/>
          <w:highlight w:val="none"/>
          <w:lang w:val="en-US" w:eastAsia="zh-CN"/>
        </w:rPr>
        <w:instrText xml:space="preserve"> HYPERLINK "http://www.newwf.com/" </w:instrText>
      </w:r>
      <w:r>
        <w:rPr>
          <w:rFonts w:hint="eastAsia" w:ascii="宋体" w:hAnsi="宋体" w:cs="宋体"/>
          <w:sz w:val="24"/>
          <w:szCs w:val="24"/>
          <w:highlight w:val="none"/>
          <w:lang w:val="en-US" w:eastAsia="zh-CN"/>
        </w:rPr>
        <w:fldChar w:fldCharType="separate"/>
      </w:r>
      <w:r>
        <w:rPr>
          <w:rFonts w:hint="eastAsia" w:ascii="宋体" w:hAnsi="宋体" w:cs="宋体"/>
          <w:sz w:val="24"/>
          <w:szCs w:val="24"/>
          <w:highlight w:val="none"/>
          <w:lang w:val="en-US" w:eastAsia="zh-CN"/>
        </w:rPr>
        <w:t>http://www.newwf.com/</w:t>
      </w:r>
      <w:r>
        <w:rPr>
          <w:rFonts w:hint="eastAsia" w:ascii="宋体" w:hAnsi="宋体" w:cs="宋体"/>
          <w:sz w:val="24"/>
          <w:szCs w:val="24"/>
          <w:highlight w:val="none"/>
          <w:lang w:val="en-US" w:eastAsia="zh-CN"/>
        </w:rPr>
        <w:fldChar w:fldCharType="end"/>
      </w:r>
      <w:r>
        <w:rPr>
          <w:rFonts w:hint="eastAsia" w:ascii="宋体" w:hAnsi="宋体" w:cs="宋体"/>
          <w:sz w:val="24"/>
          <w:szCs w:val="24"/>
          <w:highlight w:val="none"/>
          <w:lang w:val="en-US" w:eastAsia="zh-CN"/>
        </w:rPr>
        <w:t>）本公告发布网页底部相关下载中自行下载谈判邀请文件。</w:t>
      </w:r>
    </w:p>
    <w:p>
      <w:pPr>
        <w:pStyle w:val="2"/>
        <w:spacing w:afterLines="0"/>
        <w:ind w:left="0" w:firstLine="0" w:firstLineChars="0"/>
        <w:rPr>
          <w:highlight w:val="none"/>
          <w:lang w:val="en-US"/>
        </w:rPr>
      </w:pPr>
      <w:r>
        <w:rPr>
          <w:rFonts w:hint="eastAsia"/>
          <w:b/>
          <w:bCs/>
          <w:kern w:val="0"/>
          <w:sz w:val="24"/>
          <w:szCs w:val="24"/>
          <w:highlight w:val="none"/>
          <w:lang w:val="en-US"/>
        </w:rPr>
        <w:t>5</w:t>
      </w:r>
      <w:r>
        <w:rPr>
          <w:rFonts w:hint="eastAsia"/>
          <w:b/>
          <w:bCs/>
          <w:kern w:val="0"/>
          <w:sz w:val="24"/>
          <w:szCs w:val="24"/>
          <w:highlight w:val="none"/>
        </w:rPr>
        <w:t>、谈判响应</w:t>
      </w:r>
      <w:r>
        <w:rPr>
          <w:b/>
          <w:bCs/>
          <w:kern w:val="0"/>
          <w:sz w:val="24"/>
          <w:szCs w:val="24"/>
          <w:highlight w:val="none"/>
        </w:rPr>
        <w:t>文件</w:t>
      </w:r>
      <w:r>
        <w:rPr>
          <w:rFonts w:hint="eastAsia"/>
          <w:b/>
          <w:bCs/>
          <w:kern w:val="0"/>
          <w:sz w:val="24"/>
          <w:szCs w:val="24"/>
          <w:highlight w:val="none"/>
        </w:rPr>
        <w:t>递交时间要求：</w:t>
      </w:r>
    </w:p>
    <w:p>
      <w:pPr>
        <w:pStyle w:val="81"/>
        <w:spacing w:line="480" w:lineRule="exact"/>
        <w:ind w:firstLine="0" w:firstLineChars="0"/>
        <w:jc w:val="left"/>
        <w:rPr>
          <w:rFonts w:hint="eastAsia" w:ascii="宋体" w:hAnsi="宋体" w:cs="宋体"/>
          <w:b/>
          <w:kern w:val="0"/>
          <w:sz w:val="24"/>
          <w:szCs w:val="24"/>
          <w:highlight w:val="none"/>
        </w:rPr>
      </w:pPr>
      <w:r>
        <w:rPr>
          <w:rFonts w:hint="eastAsia" w:ascii="宋体" w:hAnsi="宋体" w:cs="宋体"/>
          <w:sz w:val="24"/>
          <w:szCs w:val="24"/>
          <w:highlight w:val="none"/>
          <w:lang w:val="en-US" w:eastAsia="zh-CN"/>
        </w:rPr>
        <w:t>供应商于</w:t>
      </w:r>
      <w:r>
        <w:rPr>
          <w:rFonts w:hint="eastAsia" w:ascii="宋体" w:hAnsi="宋体" w:cs="宋体"/>
          <w:b/>
          <w:bCs/>
          <w:sz w:val="24"/>
          <w:szCs w:val="24"/>
          <w:highlight w:val="none"/>
          <w:lang w:val="en-US" w:eastAsia="zh-CN"/>
        </w:rPr>
        <w:t>2023年9月20日上午10：00</w:t>
      </w:r>
      <w:r>
        <w:rPr>
          <w:rFonts w:hint="eastAsia" w:ascii="宋体" w:hAnsi="宋体" w:cs="宋体"/>
          <w:sz w:val="24"/>
          <w:szCs w:val="24"/>
          <w:highlight w:val="none"/>
          <w:lang w:val="en-US" w:eastAsia="zh-CN"/>
        </w:rPr>
        <w:t>由授权</w:t>
      </w:r>
      <w:r>
        <w:rPr>
          <w:rFonts w:hint="eastAsia" w:ascii="宋体" w:hAnsi="宋体" w:cs="宋体"/>
          <w:b/>
          <w:kern w:val="0"/>
          <w:sz w:val="24"/>
          <w:szCs w:val="24"/>
          <w:highlight w:val="none"/>
        </w:rPr>
        <w:t>委托人执密封响应文件</w:t>
      </w:r>
      <w:r>
        <w:rPr>
          <w:rFonts w:hint="eastAsia" w:ascii="宋体" w:hAnsi="宋体" w:cs="宋体"/>
          <w:b/>
          <w:kern w:val="0"/>
          <w:sz w:val="24"/>
          <w:szCs w:val="24"/>
          <w:highlight w:val="none"/>
          <w:lang w:eastAsia="zh-CN"/>
        </w:rPr>
        <w:t>（</w:t>
      </w:r>
      <w:r>
        <w:rPr>
          <w:rFonts w:hint="eastAsia" w:ascii="宋体" w:hAnsi="宋体" w:cs="宋体"/>
          <w:b/>
          <w:bCs/>
          <w:sz w:val="24"/>
          <w:szCs w:val="24"/>
          <w:highlight w:val="none"/>
        </w:rPr>
        <w:t>正本壹份、副本</w:t>
      </w:r>
      <w:r>
        <w:rPr>
          <w:rFonts w:hint="eastAsia" w:ascii="宋体" w:hAnsi="宋体" w:cs="宋体"/>
          <w:b/>
          <w:bCs/>
          <w:sz w:val="24"/>
          <w:szCs w:val="24"/>
          <w:highlight w:val="none"/>
          <w:lang w:val="en-US" w:eastAsia="zh-CN"/>
        </w:rPr>
        <w:t>贰</w:t>
      </w:r>
      <w:r>
        <w:rPr>
          <w:rFonts w:hint="eastAsia" w:ascii="宋体" w:hAnsi="宋体" w:cs="宋体"/>
          <w:b/>
          <w:bCs/>
          <w:sz w:val="24"/>
          <w:szCs w:val="24"/>
          <w:highlight w:val="none"/>
        </w:rPr>
        <w:t>份</w:t>
      </w:r>
      <w:r>
        <w:rPr>
          <w:rFonts w:hint="eastAsia" w:ascii="宋体" w:hAnsi="宋体" w:cs="宋体"/>
          <w:b/>
          <w:kern w:val="0"/>
          <w:sz w:val="24"/>
          <w:szCs w:val="24"/>
          <w:highlight w:val="none"/>
          <w:lang w:eastAsia="zh-CN"/>
        </w:rPr>
        <w:t>）</w:t>
      </w:r>
      <w:r>
        <w:rPr>
          <w:rFonts w:hint="eastAsia" w:ascii="宋体" w:hAnsi="宋体" w:cs="宋体"/>
          <w:b/>
          <w:kern w:val="0"/>
          <w:sz w:val="24"/>
          <w:szCs w:val="24"/>
          <w:highlight w:val="none"/>
        </w:rPr>
        <w:t>在谈判会议现场递交。</w:t>
      </w:r>
    </w:p>
    <w:p>
      <w:pPr>
        <w:pStyle w:val="81"/>
        <w:spacing w:line="480" w:lineRule="exact"/>
        <w:ind w:firstLine="0" w:firstLineChars="0"/>
        <w:jc w:val="left"/>
        <w:rPr>
          <w:rFonts w:ascii="宋体" w:hAnsi="宋体" w:cs="宋体"/>
          <w:b/>
          <w:kern w:val="0"/>
          <w:sz w:val="24"/>
          <w:szCs w:val="24"/>
          <w:highlight w:val="none"/>
          <w:u w:val="single"/>
        </w:rPr>
      </w:pPr>
      <w:r>
        <w:rPr>
          <w:rFonts w:hint="eastAsia" w:ascii="宋体" w:hAnsi="宋体" w:cs="宋体"/>
          <w:b/>
          <w:bCs/>
          <w:kern w:val="0"/>
          <w:sz w:val="24"/>
          <w:szCs w:val="24"/>
          <w:highlight w:val="none"/>
        </w:rPr>
        <w:t>6、谈判响应文件要求：（</w:t>
      </w:r>
      <w:r>
        <w:rPr>
          <w:rFonts w:hint="eastAsia" w:ascii="宋体" w:hAnsi="宋体" w:cs="宋体"/>
          <w:b/>
          <w:kern w:val="0"/>
          <w:sz w:val="24"/>
          <w:szCs w:val="24"/>
          <w:highlight w:val="none"/>
        </w:rPr>
        <w:t>包含但不限于以下内容）</w:t>
      </w:r>
    </w:p>
    <w:p>
      <w:pPr>
        <w:pStyle w:val="81"/>
        <w:spacing w:line="480" w:lineRule="exact"/>
        <w:ind w:firstLine="0" w:firstLineChars="0"/>
        <w:jc w:val="left"/>
        <w:rPr>
          <w:rFonts w:ascii="宋体" w:hAnsi="宋体" w:cs="宋体"/>
          <w:b/>
          <w:kern w:val="0"/>
          <w:sz w:val="24"/>
          <w:szCs w:val="24"/>
          <w:highlight w:val="none"/>
        </w:rPr>
      </w:pPr>
      <w:r>
        <w:rPr>
          <w:rFonts w:hint="eastAsia" w:ascii="宋体" w:hAnsi="宋体" w:cs="宋体"/>
          <w:sz w:val="24"/>
          <w:szCs w:val="24"/>
          <w:highlight w:val="none"/>
        </w:rPr>
        <w:t>（1）</w:t>
      </w:r>
      <w:r>
        <w:rPr>
          <w:rFonts w:hint="eastAsia" w:ascii="宋体" w:hAnsi="宋体" w:cs="宋体"/>
          <w:b/>
          <w:kern w:val="0"/>
          <w:sz w:val="24"/>
          <w:szCs w:val="24"/>
          <w:highlight w:val="none"/>
        </w:rPr>
        <w:t>响应单位加盖公章的资质证明文件（复印件）及法人代表授权委托书。</w:t>
      </w:r>
    </w:p>
    <w:p>
      <w:pPr>
        <w:pStyle w:val="81"/>
        <w:spacing w:line="480" w:lineRule="exact"/>
        <w:ind w:firstLine="0" w:firstLineChars="0"/>
        <w:jc w:val="left"/>
        <w:rPr>
          <w:rFonts w:ascii="宋体" w:hAnsi="宋体" w:cs="宋体"/>
          <w:b/>
          <w:kern w:val="0"/>
          <w:sz w:val="24"/>
          <w:szCs w:val="24"/>
          <w:highlight w:val="none"/>
        </w:rPr>
      </w:pPr>
      <w:r>
        <w:rPr>
          <w:rFonts w:hint="eastAsia" w:ascii="宋体" w:hAnsi="宋体" w:cs="宋体"/>
          <w:sz w:val="24"/>
          <w:szCs w:val="24"/>
          <w:highlight w:val="none"/>
        </w:rPr>
        <w:t>（2）</w:t>
      </w:r>
      <w:r>
        <w:rPr>
          <w:rFonts w:hint="eastAsia" w:ascii="宋体" w:hAnsi="宋体" w:cs="宋体"/>
          <w:b/>
          <w:kern w:val="0"/>
          <w:sz w:val="24"/>
          <w:szCs w:val="24"/>
          <w:highlight w:val="none"/>
        </w:rPr>
        <w:t>第一轮报价单（二轮报价单现场填写）。</w:t>
      </w:r>
    </w:p>
    <w:bookmarkEnd w:id="3"/>
    <w:p>
      <w:pPr>
        <w:spacing w:line="360" w:lineRule="auto"/>
        <w:rPr>
          <w:rFonts w:ascii="宋体" w:hAnsi="宋体" w:cs="宋体"/>
          <w:b/>
          <w:sz w:val="24"/>
          <w:szCs w:val="24"/>
          <w:highlight w:val="none"/>
        </w:rPr>
      </w:pPr>
      <w:bookmarkStart w:id="4" w:name="_Toc179632531"/>
      <w:bookmarkEnd w:id="4"/>
      <w:bookmarkStart w:id="5" w:name="_Toc152045515"/>
      <w:bookmarkEnd w:id="5"/>
      <w:bookmarkStart w:id="6" w:name="_Toc152042291"/>
      <w:bookmarkEnd w:id="6"/>
      <w:r>
        <w:rPr>
          <w:rFonts w:hint="eastAsia" w:ascii="宋体" w:hAnsi="宋体" w:cs="宋体"/>
          <w:b/>
          <w:bCs/>
          <w:kern w:val="0"/>
          <w:sz w:val="24"/>
          <w:szCs w:val="24"/>
          <w:highlight w:val="none"/>
        </w:rPr>
        <w:t>7、</w:t>
      </w:r>
      <w:r>
        <w:rPr>
          <w:rFonts w:hint="eastAsia" w:ascii="宋体" w:hAnsi="宋体" w:cs="宋体"/>
          <w:b/>
          <w:sz w:val="24"/>
          <w:szCs w:val="24"/>
          <w:highlight w:val="none"/>
        </w:rPr>
        <w:t>谈判保证金：</w:t>
      </w:r>
    </w:p>
    <w:p>
      <w:pPr>
        <w:spacing w:line="360" w:lineRule="auto"/>
        <w:rPr>
          <w:rFonts w:ascii="宋体" w:hAnsi="宋体" w:cs="宋体"/>
          <w:b/>
          <w:bCs/>
          <w:sz w:val="24"/>
          <w:szCs w:val="24"/>
          <w:highlight w:val="none"/>
        </w:rPr>
      </w:pPr>
      <w:r>
        <w:rPr>
          <w:rFonts w:hint="eastAsia" w:ascii="宋体" w:hAnsi="宋体" w:cs="宋体"/>
          <w:sz w:val="24"/>
          <w:szCs w:val="24"/>
          <w:highlight w:val="none"/>
        </w:rPr>
        <w:t>（1）保证金数额：</w:t>
      </w:r>
      <w:r>
        <w:rPr>
          <w:rFonts w:hint="eastAsia" w:ascii="宋体" w:hAnsi="宋体" w:cs="宋体"/>
          <w:b/>
          <w:bCs/>
          <w:sz w:val="24"/>
          <w:szCs w:val="24"/>
          <w:highlight w:val="none"/>
        </w:rPr>
        <w:t>伍仟元整（¥</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0</w:t>
      </w:r>
      <w:r>
        <w:rPr>
          <w:rFonts w:hint="eastAsia" w:ascii="宋体" w:hAnsi="宋体" w:cs="宋体"/>
          <w:b/>
          <w:bCs/>
          <w:sz w:val="24"/>
          <w:szCs w:val="24"/>
          <w:highlight w:val="none"/>
          <w:lang w:val="en-US" w:eastAsia="zh-CN"/>
        </w:rPr>
        <w:t>0</w:t>
      </w:r>
      <w:r>
        <w:rPr>
          <w:rFonts w:hint="eastAsia" w:ascii="宋体" w:hAnsi="宋体" w:cs="宋体"/>
          <w:b/>
          <w:bCs/>
          <w:sz w:val="24"/>
          <w:szCs w:val="24"/>
          <w:highlight w:val="none"/>
        </w:rPr>
        <w:t>0.00元）</w:t>
      </w:r>
    </w:p>
    <w:p>
      <w:pPr>
        <w:spacing w:line="360" w:lineRule="auto"/>
        <w:rPr>
          <w:rFonts w:ascii="宋体" w:hAnsi="宋体" w:cs="宋体"/>
          <w:sz w:val="24"/>
          <w:szCs w:val="24"/>
          <w:highlight w:val="none"/>
        </w:rPr>
      </w:pPr>
      <w:r>
        <w:rPr>
          <w:rFonts w:hint="eastAsia" w:ascii="宋体" w:hAnsi="宋体" w:cs="宋体"/>
          <w:sz w:val="24"/>
          <w:szCs w:val="24"/>
          <w:highlight w:val="none"/>
        </w:rPr>
        <w:t>（2）缴纳方式：以银行转账等形式(非现金)从谈判单位基本账户缴入以下账户，供应商须确保谈判保证金在谈判截止时间前到达指定账户，以银行查询到账时间为准。</w:t>
      </w:r>
    </w:p>
    <w:p>
      <w:pPr>
        <w:spacing w:line="360" w:lineRule="auto"/>
        <w:rPr>
          <w:rFonts w:ascii="宋体" w:hAnsi="宋体" w:cs="宋体"/>
          <w:sz w:val="24"/>
          <w:szCs w:val="24"/>
          <w:highlight w:val="none"/>
        </w:rPr>
      </w:pPr>
      <w:r>
        <w:rPr>
          <w:rFonts w:hint="eastAsia" w:ascii="宋体" w:hAnsi="宋体" w:cs="宋体"/>
          <w:sz w:val="24"/>
          <w:szCs w:val="24"/>
          <w:highlight w:val="none"/>
        </w:rPr>
        <w:t>账 户 名：湖南新五丰股份有限公司</w:t>
      </w:r>
    </w:p>
    <w:p>
      <w:pPr>
        <w:rPr>
          <w:rFonts w:ascii="宋体" w:hAnsi="宋体" w:cs="宋体"/>
          <w:sz w:val="24"/>
          <w:szCs w:val="24"/>
          <w:highlight w:val="none"/>
        </w:rPr>
      </w:pPr>
      <w:r>
        <w:rPr>
          <w:rFonts w:hint="eastAsia" w:ascii="宋体" w:hAnsi="宋体" w:cs="宋体"/>
          <w:sz w:val="24"/>
          <w:szCs w:val="24"/>
          <w:highlight w:val="none"/>
        </w:rPr>
        <w:t xml:space="preserve">开户银行：交通银行股份有限公司长沙潇湘支行 </w:t>
      </w:r>
    </w:p>
    <w:p>
      <w:pPr>
        <w:spacing w:line="360" w:lineRule="auto"/>
        <w:rPr>
          <w:rFonts w:ascii="宋体" w:hAnsi="宋体" w:cs="宋体"/>
          <w:sz w:val="24"/>
          <w:szCs w:val="24"/>
          <w:highlight w:val="none"/>
        </w:rPr>
      </w:pPr>
      <w:r>
        <w:rPr>
          <w:rFonts w:hint="eastAsia" w:ascii="宋体" w:hAnsi="宋体" w:cs="宋体"/>
          <w:sz w:val="24"/>
          <w:szCs w:val="24"/>
          <w:highlight w:val="none"/>
        </w:rPr>
        <w:t>账    号：43161 00000 181500 04180</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（3）未按时足额缴纳保证金的，其响应文件将被拒绝。</w:t>
      </w:r>
    </w:p>
    <w:p>
      <w:pPr>
        <w:widowControl/>
        <w:spacing w:line="480" w:lineRule="exact"/>
        <w:jc w:val="left"/>
        <w:rPr>
          <w:rFonts w:hint="eastAsia" w:ascii="宋体" w:hAnsi="宋体" w:cs="宋体"/>
          <w:b/>
          <w:bCs/>
          <w:kern w:val="0"/>
          <w:sz w:val="24"/>
          <w:szCs w:val="24"/>
          <w:highlight w:val="none"/>
        </w:rPr>
      </w:pPr>
    </w:p>
    <w:p>
      <w:pPr>
        <w:widowControl/>
        <w:spacing w:line="480" w:lineRule="exact"/>
        <w:jc w:val="left"/>
        <w:rPr>
          <w:rFonts w:hint="eastAsia" w:ascii="宋体" w:hAnsi="宋体" w:cs="宋体"/>
          <w:b/>
          <w:bCs/>
          <w:kern w:val="0"/>
          <w:sz w:val="24"/>
          <w:szCs w:val="24"/>
          <w:highlight w:val="none"/>
        </w:rPr>
      </w:pPr>
    </w:p>
    <w:p>
      <w:pPr>
        <w:widowControl/>
        <w:spacing w:line="480" w:lineRule="exact"/>
        <w:jc w:val="left"/>
        <w:rPr>
          <w:rFonts w:ascii="宋体"/>
          <w:b/>
          <w:bCs/>
          <w:kern w:val="0"/>
          <w:sz w:val="24"/>
          <w:szCs w:val="24"/>
          <w:highlight w:val="none"/>
        </w:rPr>
      </w:pPr>
      <w:r>
        <w:rPr>
          <w:rFonts w:hint="eastAsia" w:ascii="宋体" w:hAnsi="宋体" w:cs="宋体"/>
          <w:b/>
          <w:bCs/>
          <w:kern w:val="0"/>
          <w:sz w:val="24"/>
          <w:szCs w:val="24"/>
          <w:highlight w:val="none"/>
          <w:lang w:val="en-US" w:eastAsia="zh-CN"/>
        </w:rPr>
        <w:t>8、</w:t>
      </w:r>
      <w:r>
        <w:rPr>
          <w:rFonts w:hint="eastAsia" w:ascii="宋体" w:hAnsi="宋体" w:cs="宋体"/>
          <w:b/>
          <w:bCs/>
          <w:kern w:val="0"/>
          <w:sz w:val="24"/>
          <w:szCs w:val="24"/>
          <w:highlight w:val="none"/>
        </w:rPr>
        <w:t>谈判时间及</w:t>
      </w:r>
      <w:r>
        <w:rPr>
          <w:rFonts w:ascii="宋体" w:hAnsi="宋体" w:cs="宋体"/>
          <w:b/>
          <w:bCs/>
          <w:kern w:val="0"/>
          <w:sz w:val="24"/>
          <w:szCs w:val="24"/>
          <w:highlight w:val="none"/>
        </w:rPr>
        <w:t>地点：</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年</w:t>
      </w:r>
      <w:r>
        <w:rPr>
          <w:rFonts w:hint="eastAsia" w:ascii="宋体" w:hAnsi="宋体" w:cs="宋体"/>
          <w:b/>
          <w:bCs/>
          <w:kern w:val="0"/>
          <w:sz w:val="24"/>
          <w:szCs w:val="24"/>
          <w:highlight w:val="none"/>
          <w:lang w:val="en-US" w:eastAsia="zh-CN"/>
        </w:rPr>
        <w:t>9</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20</w:t>
      </w:r>
      <w:r>
        <w:rPr>
          <w:rFonts w:hint="eastAsia" w:ascii="宋体" w:hAnsi="宋体" w:cs="宋体"/>
          <w:b/>
          <w:bCs/>
          <w:kern w:val="0"/>
          <w:sz w:val="24"/>
          <w:szCs w:val="24"/>
          <w:highlight w:val="none"/>
        </w:rPr>
        <w:t>日</w:t>
      </w:r>
      <w:r>
        <w:rPr>
          <w:rFonts w:hint="eastAsia" w:ascii="宋体" w:hAnsi="宋体" w:cs="宋体"/>
          <w:b/>
          <w:bCs/>
          <w:kern w:val="0"/>
          <w:sz w:val="24"/>
          <w:szCs w:val="24"/>
          <w:highlight w:val="none"/>
          <w:lang w:val="en-US" w:eastAsia="zh-CN"/>
        </w:rPr>
        <w:t>上午</w:t>
      </w:r>
      <w:r>
        <w:rPr>
          <w:rFonts w:hint="eastAsia" w:ascii="宋体" w:hAnsi="宋体" w:cs="宋体"/>
          <w:b/>
          <w:bCs/>
          <w:kern w:val="0"/>
          <w:sz w:val="24"/>
          <w:szCs w:val="24"/>
          <w:highlight w:val="none"/>
        </w:rPr>
        <w:t>10：00，湖南新五丰股份有限公司</w:t>
      </w:r>
      <w:r>
        <w:rPr>
          <w:rFonts w:hint="eastAsia" w:ascii="宋体" w:hAnsi="宋体" w:cs="宋体"/>
          <w:b/>
          <w:bCs/>
          <w:kern w:val="0"/>
          <w:sz w:val="24"/>
          <w:szCs w:val="24"/>
          <w:highlight w:val="none"/>
          <w:lang w:val="en-US" w:eastAsia="zh-CN"/>
        </w:rPr>
        <w:t>19楼</w:t>
      </w:r>
      <w:r>
        <w:rPr>
          <w:rFonts w:ascii="宋体" w:hAnsi="宋体" w:cs="宋体"/>
          <w:b/>
          <w:bCs/>
          <w:kern w:val="0"/>
          <w:sz w:val="24"/>
          <w:szCs w:val="24"/>
          <w:highlight w:val="none"/>
        </w:rPr>
        <w:t>会议室</w:t>
      </w:r>
      <w:r>
        <w:rPr>
          <w:rFonts w:hint="eastAsia" w:ascii="宋体" w:hAnsi="宋体" w:cs="宋体"/>
          <w:b/>
          <w:bCs/>
          <w:kern w:val="0"/>
          <w:sz w:val="24"/>
          <w:szCs w:val="24"/>
          <w:highlight w:val="none"/>
          <w:lang w:val="en-US" w:eastAsia="zh-CN"/>
        </w:rPr>
        <w:t>（长沙市芙蓉区第一大道19</w:t>
      </w:r>
      <w:bookmarkStart w:id="29" w:name="_GoBack"/>
      <w:bookmarkEnd w:id="29"/>
      <w:r>
        <w:rPr>
          <w:rFonts w:hint="eastAsia" w:ascii="宋体" w:hAnsi="宋体" w:cs="宋体"/>
          <w:b/>
          <w:bCs/>
          <w:kern w:val="0"/>
          <w:sz w:val="24"/>
          <w:szCs w:val="24"/>
          <w:highlight w:val="none"/>
          <w:lang w:val="en-US" w:eastAsia="zh-CN"/>
        </w:rPr>
        <w:t>楼）</w:t>
      </w:r>
      <w:r>
        <w:rPr>
          <w:rFonts w:hint="eastAsia" w:ascii="宋体" w:hAnsi="宋体" w:cs="宋体"/>
          <w:b/>
          <w:bCs/>
          <w:kern w:val="0"/>
          <w:sz w:val="24"/>
          <w:szCs w:val="24"/>
          <w:highlight w:val="none"/>
        </w:rPr>
        <w:t>。</w:t>
      </w:r>
    </w:p>
    <w:p>
      <w:pPr>
        <w:widowControl/>
        <w:spacing w:line="480" w:lineRule="exact"/>
        <w:jc w:val="left"/>
        <w:rPr>
          <w:rFonts w:ascii="宋体" w:hAnsi="宋体" w:cs="宋体"/>
          <w:kern w:val="0"/>
          <w:sz w:val="24"/>
          <w:szCs w:val="24"/>
          <w:highlight w:val="none"/>
        </w:rPr>
      </w:pPr>
      <w:r>
        <w:rPr>
          <w:rFonts w:hint="eastAsia" w:ascii="宋体"/>
          <w:b/>
          <w:bCs/>
          <w:kern w:val="0"/>
          <w:sz w:val="24"/>
          <w:szCs w:val="24"/>
          <w:highlight w:val="none"/>
          <w:lang w:val="en-US" w:eastAsia="zh-CN"/>
        </w:rPr>
        <w:t>9</w:t>
      </w:r>
      <w:r>
        <w:rPr>
          <w:rFonts w:hint="eastAsia" w:ascii="宋体"/>
          <w:b/>
          <w:bCs/>
          <w:kern w:val="0"/>
          <w:sz w:val="24"/>
          <w:szCs w:val="24"/>
          <w:highlight w:val="none"/>
        </w:rPr>
        <w:t>、</w:t>
      </w:r>
      <w:r>
        <w:rPr>
          <w:rFonts w:hint="eastAsia" w:ascii="宋体" w:hAnsi="宋体" w:cs="宋体"/>
          <w:b/>
          <w:bCs/>
          <w:kern w:val="0"/>
          <w:sz w:val="24"/>
          <w:szCs w:val="24"/>
          <w:highlight w:val="none"/>
        </w:rPr>
        <w:t>联</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系</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人：</w:t>
      </w:r>
      <w:r>
        <w:rPr>
          <w:rFonts w:ascii="宋体"/>
          <w:kern w:val="0"/>
          <w:sz w:val="24"/>
          <w:szCs w:val="24"/>
          <w:highlight w:val="none"/>
          <w:u w:val="single"/>
        </w:rPr>
        <w:t> </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u w:val="single"/>
          <w:lang w:eastAsia="zh-CN"/>
        </w:rPr>
        <w:t>汪加明</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b/>
          <w:bCs/>
          <w:kern w:val="0"/>
          <w:sz w:val="24"/>
          <w:szCs w:val="24"/>
          <w:highlight w:val="none"/>
        </w:rPr>
        <w:t>电</w:t>
      </w:r>
      <w:r>
        <w:rPr>
          <w:rFonts w:ascii="宋体"/>
          <w:b/>
          <w:bCs/>
          <w:kern w:val="0"/>
          <w:sz w:val="24"/>
          <w:szCs w:val="24"/>
          <w:highlight w:val="none"/>
        </w:rPr>
        <w:t>   </w:t>
      </w:r>
      <w:r>
        <w:rPr>
          <w:rFonts w:ascii="宋体" w:hAnsi="宋体" w:cs="宋体"/>
          <w:b/>
          <w:bCs/>
          <w:kern w:val="0"/>
          <w:sz w:val="24"/>
          <w:szCs w:val="24"/>
          <w:highlight w:val="none"/>
        </w:rPr>
        <w:t xml:space="preserve"> </w:t>
      </w:r>
      <w:r>
        <w:rPr>
          <w:rFonts w:hint="eastAsia" w:ascii="宋体" w:hAnsi="宋体" w:cs="宋体"/>
          <w:b/>
          <w:bCs/>
          <w:kern w:val="0"/>
          <w:sz w:val="24"/>
          <w:szCs w:val="24"/>
          <w:highlight w:val="none"/>
        </w:rPr>
        <w:t>话：</w:t>
      </w:r>
      <w:r>
        <w:rPr>
          <w:rFonts w:ascii="宋体"/>
          <w:kern w:val="0"/>
          <w:sz w:val="24"/>
          <w:szCs w:val="24"/>
          <w:highlight w:val="none"/>
          <w:u w:val="single"/>
        </w:rPr>
        <w:t> </w:t>
      </w:r>
      <w:r>
        <w:rPr>
          <w:rFonts w:hint="eastAsia" w:ascii="宋体" w:hAnsi="宋体" w:cs="宋体"/>
          <w:kern w:val="0"/>
          <w:sz w:val="24"/>
          <w:szCs w:val="24"/>
          <w:highlight w:val="none"/>
          <w:u w:val="single"/>
          <w:lang w:val="en-US" w:eastAsia="zh-CN"/>
        </w:rPr>
        <w:t>13873174320</w:t>
      </w:r>
      <w:r>
        <w:rPr>
          <w:rFonts w:ascii="宋体" w:hAnsi="宋体" w:cs="宋体"/>
          <w:kern w:val="0"/>
          <w:sz w:val="24"/>
          <w:szCs w:val="24"/>
          <w:highlight w:val="none"/>
          <w:u w:val="single"/>
        </w:rPr>
        <w:t xml:space="preserve"> </w:t>
      </w:r>
      <w:r>
        <w:rPr>
          <w:rFonts w:ascii="宋体"/>
          <w:kern w:val="0"/>
          <w:sz w:val="24"/>
          <w:szCs w:val="24"/>
          <w:highlight w:val="none"/>
        </w:rPr>
        <w:t>   </w:t>
      </w:r>
      <w:r>
        <w:rPr>
          <w:rFonts w:ascii="宋体" w:hAnsi="宋体" w:cs="宋体"/>
          <w:kern w:val="0"/>
          <w:sz w:val="24"/>
          <w:szCs w:val="24"/>
          <w:highlight w:val="none"/>
        </w:rPr>
        <w:t xml:space="preserve">         </w:t>
      </w:r>
    </w:p>
    <w:p>
      <w:pPr>
        <w:pStyle w:val="81"/>
        <w:spacing w:line="480" w:lineRule="exact"/>
        <w:ind w:firstLine="228" w:firstLineChars="95"/>
        <w:jc w:val="left"/>
        <w:rPr>
          <w:rFonts w:ascii="宋体" w:hAnsi="宋体" w:cs="宋体"/>
          <w:kern w:val="0"/>
          <w:sz w:val="24"/>
          <w:szCs w:val="24"/>
          <w:highlight w:val="none"/>
        </w:rPr>
      </w:pPr>
    </w:p>
    <w:p>
      <w:pPr>
        <w:pStyle w:val="4"/>
        <w:spacing w:line="560" w:lineRule="exact"/>
        <w:jc w:val="center"/>
        <w:rPr>
          <w:rFonts w:ascii="宋体" w:hAnsi="宋体" w:cs="宋体"/>
          <w:sz w:val="32"/>
          <w:szCs w:val="32"/>
          <w:highlight w:val="none"/>
        </w:rPr>
      </w:pPr>
      <w:bookmarkStart w:id="7" w:name="_Toc227423920"/>
      <w:bookmarkStart w:id="8" w:name="_Toc1640"/>
      <w:bookmarkStart w:id="9" w:name="_Toc26408"/>
      <w:bookmarkStart w:id="10" w:name="_Toc32546"/>
      <w:r>
        <w:rPr>
          <w:rFonts w:hint="eastAsia" w:ascii="宋体" w:hAnsi="宋体" w:cs="宋体"/>
          <w:sz w:val="32"/>
          <w:szCs w:val="32"/>
          <w:highlight w:val="none"/>
        </w:rPr>
        <w:t>第二章  谈判办法</w:t>
      </w:r>
    </w:p>
    <w:bookmarkEnd w:id="7"/>
    <w:bookmarkEnd w:id="8"/>
    <w:bookmarkEnd w:id="9"/>
    <w:bookmarkEnd w:id="10"/>
    <w:p>
      <w:pPr>
        <w:spacing w:line="560" w:lineRule="exact"/>
        <w:ind w:left="1" w:hanging="1"/>
        <w:rPr>
          <w:rFonts w:ascii="宋体" w:hAnsi="宋体" w:cs="宋体"/>
          <w:sz w:val="24"/>
          <w:szCs w:val="24"/>
          <w:highlight w:val="none"/>
        </w:rPr>
      </w:pPr>
      <w:r>
        <w:rPr>
          <w:rFonts w:hint="eastAsia" w:ascii="宋体" w:hAnsi="宋体" w:cs="宋体"/>
          <w:b/>
          <w:sz w:val="24"/>
          <w:szCs w:val="24"/>
          <w:highlight w:val="none"/>
        </w:rPr>
        <w:t>1、谈判方法：</w:t>
      </w:r>
      <w:r>
        <w:rPr>
          <w:rFonts w:hint="eastAsia" w:ascii="宋体" w:hAnsi="宋体" w:cs="宋体"/>
          <w:sz w:val="24"/>
          <w:szCs w:val="24"/>
          <w:highlight w:val="none"/>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b/>
          <w:bCs/>
          <w:sz w:val="24"/>
          <w:szCs w:val="24"/>
          <w:highlight w:val="none"/>
        </w:rPr>
      </w:pPr>
      <w:r>
        <w:rPr>
          <w:rFonts w:hint="eastAsia" w:ascii="宋体" w:hAnsi="宋体" w:cs="宋体"/>
          <w:b/>
          <w:bCs/>
          <w:sz w:val="24"/>
          <w:szCs w:val="24"/>
          <w:highlight w:val="none"/>
        </w:rPr>
        <w:t>2、评审表：</w:t>
      </w:r>
      <w:bookmarkStart w:id="11" w:name="_Toc227423924"/>
    </w:p>
    <w:tbl>
      <w:tblPr>
        <w:tblStyle w:val="3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highlight w:val="none"/>
              </w:rPr>
            </w:pPr>
            <w:r>
              <w:rPr>
                <w:rFonts w:hint="eastAsia" w:ascii="宋体" w:hAnsi="宋体" w:cs="宋体"/>
                <w:b/>
                <w:bCs/>
                <w:highlight w:val="none"/>
              </w:rPr>
              <w:t>评审因素</w:t>
            </w:r>
          </w:p>
        </w:tc>
        <w:tc>
          <w:tcPr>
            <w:tcW w:w="4662" w:type="dxa"/>
            <w:gridSpan w:val="3"/>
            <w:vAlign w:val="center"/>
          </w:tcPr>
          <w:p>
            <w:pPr>
              <w:jc w:val="center"/>
              <w:rPr>
                <w:rFonts w:ascii="宋体" w:hAnsi="宋体" w:cs="宋体"/>
                <w:b/>
                <w:bCs/>
                <w:highlight w:val="none"/>
              </w:rPr>
            </w:pPr>
            <w:r>
              <w:rPr>
                <w:rFonts w:hint="eastAsia" w:ascii="宋体" w:hAnsi="宋体" w:cs="宋体"/>
                <w:b/>
                <w:bCs/>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ascii="宋体" w:hAnsi="宋体" w:cs="宋体"/>
                <w:b/>
                <w:bCs/>
                <w:highlight w:val="none"/>
              </w:rPr>
            </w:pPr>
          </w:p>
        </w:tc>
        <w:tc>
          <w:tcPr>
            <w:tcW w:w="1554" w:type="dxa"/>
            <w:vAlign w:val="center"/>
          </w:tcPr>
          <w:p>
            <w:pPr>
              <w:jc w:val="center"/>
              <w:rPr>
                <w:rFonts w:ascii="宋体" w:hAnsi="宋体" w:cs="宋体"/>
                <w:b/>
                <w:bCs/>
                <w:highlight w:val="none"/>
              </w:rPr>
            </w:pPr>
          </w:p>
        </w:tc>
        <w:tc>
          <w:tcPr>
            <w:tcW w:w="1554" w:type="dxa"/>
            <w:vAlign w:val="center"/>
          </w:tcPr>
          <w:p>
            <w:pPr>
              <w:jc w:val="center"/>
              <w:rPr>
                <w:rFonts w:ascii="宋体" w:hAnsi="宋体" w:cs="宋体"/>
                <w:b/>
                <w:bCs/>
                <w:highlight w:val="none"/>
              </w:rPr>
            </w:pPr>
          </w:p>
        </w:tc>
        <w:tc>
          <w:tcPr>
            <w:tcW w:w="1554" w:type="dxa"/>
            <w:vAlign w:val="center"/>
          </w:tcPr>
          <w:p>
            <w:pPr>
              <w:jc w:val="center"/>
              <w:rPr>
                <w:rFonts w:ascii="宋体" w:hAnsi="宋体" w:cs="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highlight w:val="none"/>
              </w:rPr>
            </w:pPr>
            <w:r>
              <w:rPr>
                <w:rFonts w:hint="eastAsia" w:ascii="宋体" w:hAnsi="宋体" w:cs="宋体"/>
                <w:highlight w:val="none"/>
              </w:rPr>
              <w:t>资格性审查</w:t>
            </w:r>
          </w:p>
        </w:tc>
        <w:tc>
          <w:tcPr>
            <w:tcW w:w="2850" w:type="dxa"/>
            <w:vAlign w:val="center"/>
          </w:tcPr>
          <w:p>
            <w:pPr>
              <w:spacing w:line="276" w:lineRule="auto"/>
              <w:jc w:val="center"/>
              <w:rPr>
                <w:rFonts w:ascii="宋体" w:hAnsi="宋体" w:cs="宋体"/>
                <w:color w:val="000000"/>
                <w:highlight w:val="none"/>
              </w:rPr>
            </w:pPr>
            <w:r>
              <w:rPr>
                <w:rFonts w:hint="eastAsia" w:ascii="宋体" w:hAnsi="宋体" w:cs="宋体"/>
                <w:color w:val="000000"/>
                <w:highlight w:val="none"/>
              </w:rPr>
              <w:t>营业执照、资格证书</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rPr>
                <w:rFonts w:ascii="宋体" w:hAnsi="宋体" w:cs="宋体"/>
                <w:color w:val="000000"/>
                <w:highlight w:val="none"/>
              </w:rPr>
            </w:pPr>
          </w:p>
        </w:tc>
        <w:tc>
          <w:tcPr>
            <w:tcW w:w="1554" w:type="dxa"/>
            <w:vAlign w:val="center"/>
          </w:tcPr>
          <w:p>
            <w:pPr>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highlight w:val="none"/>
              </w:rPr>
            </w:pPr>
          </w:p>
        </w:tc>
        <w:tc>
          <w:tcPr>
            <w:tcW w:w="2850" w:type="dxa"/>
            <w:vAlign w:val="center"/>
          </w:tcPr>
          <w:p>
            <w:pPr>
              <w:spacing w:line="276" w:lineRule="auto"/>
              <w:jc w:val="center"/>
              <w:rPr>
                <w:rFonts w:ascii="宋体" w:hAnsi="宋体" w:cs="宋体"/>
                <w:color w:val="000000"/>
                <w:highlight w:val="none"/>
              </w:rPr>
            </w:pPr>
            <w:r>
              <w:rPr>
                <w:rFonts w:hint="eastAsia" w:ascii="宋体" w:hAnsi="宋体" w:cs="宋体"/>
                <w:color w:val="000000"/>
                <w:highlight w:val="none"/>
              </w:rPr>
              <w:t>法定代表人授权</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highlight w:val="none"/>
              </w:rPr>
            </w:pPr>
            <w:r>
              <w:rPr>
                <w:rFonts w:hint="eastAsia" w:ascii="宋体" w:hAnsi="宋体" w:cs="宋体"/>
                <w:highlight w:val="none"/>
              </w:rPr>
              <w:t>符合性审查</w:t>
            </w:r>
          </w:p>
        </w:tc>
        <w:tc>
          <w:tcPr>
            <w:tcW w:w="2850" w:type="dxa"/>
            <w:vAlign w:val="center"/>
          </w:tcPr>
          <w:p>
            <w:pPr>
              <w:spacing w:line="276" w:lineRule="auto"/>
              <w:jc w:val="center"/>
              <w:rPr>
                <w:rFonts w:ascii="宋体" w:hAnsi="宋体" w:cs="宋体"/>
                <w:color w:val="000000"/>
                <w:highlight w:val="none"/>
              </w:rPr>
            </w:pPr>
            <w:r>
              <w:rPr>
                <w:rFonts w:hint="eastAsia" w:hAnsi="宋体"/>
                <w:highlight w:val="none"/>
              </w:rPr>
              <w:t>谈判响应</w:t>
            </w:r>
            <w:r>
              <w:rPr>
                <w:rFonts w:hAnsi="宋体"/>
                <w:highlight w:val="none"/>
              </w:rPr>
              <w:t>文件的组成</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highlight w:val="none"/>
              </w:rPr>
            </w:pPr>
          </w:p>
        </w:tc>
        <w:tc>
          <w:tcPr>
            <w:tcW w:w="2850" w:type="dxa"/>
            <w:vAlign w:val="center"/>
          </w:tcPr>
          <w:p>
            <w:pPr>
              <w:spacing w:line="276" w:lineRule="auto"/>
              <w:jc w:val="center"/>
              <w:rPr>
                <w:rFonts w:ascii="宋体" w:hAnsi="宋体" w:cs="宋体"/>
                <w:color w:val="000000"/>
                <w:highlight w:val="none"/>
              </w:rPr>
            </w:pPr>
            <w:r>
              <w:rPr>
                <w:rFonts w:hint="eastAsia" w:hAnsi="宋体"/>
                <w:highlight w:val="none"/>
              </w:rPr>
              <w:t>谈判响应</w:t>
            </w:r>
            <w:r>
              <w:rPr>
                <w:rFonts w:hAnsi="宋体"/>
                <w:highlight w:val="none"/>
              </w:rPr>
              <w:t>文件的格式</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highlight w:val="none"/>
              </w:rPr>
            </w:pPr>
          </w:p>
        </w:tc>
        <w:tc>
          <w:tcPr>
            <w:tcW w:w="2850" w:type="dxa"/>
            <w:vAlign w:val="center"/>
          </w:tcPr>
          <w:p>
            <w:pPr>
              <w:spacing w:line="276" w:lineRule="auto"/>
              <w:jc w:val="center"/>
              <w:rPr>
                <w:rFonts w:ascii="宋体" w:hAnsi="宋体" w:cs="宋体"/>
                <w:color w:val="000000"/>
                <w:highlight w:val="none"/>
              </w:rPr>
            </w:pPr>
            <w:r>
              <w:rPr>
                <w:rFonts w:hint="eastAsia" w:ascii="宋体" w:hAnsi="宋体"/>
                <w:highlight w:val="none"/>
              </w:rPr>
              <w:t>符合</w:t>
            </w:r>
            <w:r>
              <w:rPr>
                <w:rFonts w:hint="eastAsia" w:hAnsi="宋体"/>
                <w:highlight w:val="none"/>
              </w:rPr>
              <w:t>谈判响应</w:t>
            </w:r>
            <w:r>
              <w:rPr>
                <w:rFonts w:hint="eastAsia" w:ascii="宋体" w:hAnsi="宋体"/>
                <w:highlight w:val="none"/>
              </w:rPr>
              <w:t>文件所有条款、条件且没有重大偏离或保留</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ascii="宋体" w:hAnsi="宋体" w:cs="宋体"/>
                <w:color w:val="000000"/>
                <w:highlight w:val="none"/>
              </w:rPr>
            </w:pPr>
            <w:r>
              <w:rPr>
                <w:rFonts w:hint="eastAsia" w:ascii="宋体" w:hAnsi="宋体" w:cs="宋体"/>
                <w:highlight w:val="none"/>
              </w:rPr>
              <w:t>最终报价</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ascii="宋体" w:hAnsi="宋体" w:cs="宋体"/>
                <w:color w:val="000000"/>
                <w:highlight w:val="none"/>
              </w:rPr>
            </w:pPr>
            <w:r>
              <w:rPr>
                <w:rFonts w:hint="eastAsia" w:ascii="宋体" w:hAnsi="宋体" w:cs="宋体"/>
                <w:highlight w:val="none"/>
              </w:rPr>
              <w:t>满足谈判文件要求的最终报价排序</w:t>
            </w:r>
          </w:p>
        </w:tc>
        <w:tc>
          <w:tcPr>
            <w:tcW w:w="1554" w:type="dxa"/>
            <w:vAlign w:val="center"/>
          </w:tcPr>
          <w:p>
            <w:pPr>
              <w:spacing w:line="276" w:lineRule="auto"/>
              <w:jc w:val="center"/>
              <w:rPr>
                <w:rFonts w:ascii="宋体" w:hAnsi="宋体" w:cs="宋体"/>
                <w:color w:val="000000"/>
                <w:highlight w:val="none"/>
              </w:rPr>
            </w:pPr>
          </w:p>
        </w:tc>
        <w:tc>
          <w:tcPr>
            <w:tcW w:w="1554" w:type="dxa"/>
            <w:vAlign w:val="center"/>
          </w:tcPr>
          <w:p>
            <w:pPr>
              <w:adjustRightInd w:val="0"/>
              <w:snapToGrid w:val="0"/>
              <w:rPr>
                <w:rFonts w:ascii="宋体" w:hAnsi="宋体" w:cs="宋体"/>
                <w:color w:val="000000"/>
                <w:highlight w:val="none"/>
              </w:rPr>
            </w:pPr>
          </w:p>
        </w:tc>
        <w:tc>
          <w:tcPr>
            <w:tcW w:w="1554" w:type="dxa"/>
            <w:vAlign w:val="center"/>
          </w:tcPr>
          <w:p>
            <w:pPr>
              <w:adjustRightInd w:val="0"/>
              <w:snapToGrid w:val="0"/>
              <w:jc w:val="center"/>
              <w:rPr>
                <w:rFonts w:ascii="宋体" w:hAnsi="宋体" w:cs="宋体"/>
                <w:color w:val="000000"/>
                <w:highlight w:val="none"/>
              </w:rPr>
            </w:pPr>
          </w:p>
        </w:tc>
      </w:tr>
    </w:tbl>
    <w:p>
      <w:pPr>
        <w:pStyle w:val="2"/>
        <w:spacing w:after="312"/>
        <w:ind w:left="0" w:firstLine="0" w:firstLineChars="0"/>
        <w:rPr>
          <w:highlight w:val="none"/>
          <w:lang w:val="en-US"/>
        </w:rPr>
      </w:pPr>
    </w:p>
    <w:p>
      <w:pPr>
        <w:pStyle w:val="4"/>
        <w:spacing w:line="560" w:lineRule="exact"/>
        <w:rPr>
          <w:rFonts w:ascii="宋体" w:hAnsi="宋体" w:cs="宋体"/>
          <w:sz w:val="32"/>
          <w:szCs w:val="32"/>
          <w:highlight w:val="none"/>
        </w:rPr>
        <w:sectPr>
          <w:pgSz w:w="11906" w:h="16838"/>
          <w:pgMar w:top="851" w:right="1133" w:bottom="993" w:left="1418" w:header="709" w:footer="120" w:gutter="0"/>
          <w:pgBorders>
            <w:top w:val="none" w:sz="0" w:space="0"/>
            <w:left w:val="none" w:sz="0" w:space="0"/>
            <w:bottom w:val="none" w:sz="0" w:space="0"/>
            <w:right w:val="none" w:sz="0" w:space="0"/>
          </w:pgBorders>
          <w:cols w:space="720" w:num="1"/>
          <w:docGrid w:type="lines" w:linePitch="312" w:charSpace="0"/>
        </w:sectPr>
      </w:pPr>
      <w:bookmarkStart w:id="12" w:name="_Toc23244"/>
      <w:bookmarkStart w:id="13" w:name="_Toc5623"/>
    </w:p>
    <w:p>
      <w:pPr>
        <w:pStyle w:val="4"/>
        <w:spacing w:line="560" w:lineRule="exact"/>
        <w:jc w:val="center"/>
        <w:rPr>
          <w:rFonts w:ascii="宋体" w:hAnsi="宋体" w:cs="宋体"/>
          <w:sz w:val="32"/>
          <w:szCs w:val="32"/>
          <w:highlight w:val="none"/>
        </w:rPr>
      </w:pPr>
      <w:bookmarkStart w:id="14" w:name="_Toc1017"/>
      <w:r>
        <w:rPr>
          <w:rFonts w:hint="eastAsia" w:ascii="宋体" w:hAnsi="宋体" w:cs="宋体"/>
          <w:sz w:val="32"/>
          <w:szCs w:val="32"/>
          <w:highlight w:val="none"/>
        </w:rPr>
        <w:t>第三章 谈判邀请需求及说明</w:t>
      </w:r>
      <w:bookmarkEnd w:id="12"/>
      <w:bookmarkEnd w:id="13"/>
      <w:bookmarkEnd w:id="14"/>
    </w:p>
    <w:p>
      <w:pPr>
        <w:pStyle w:val="5"/>
        <w:numPr>
          <w:ilvl w:val="0"/>
          <w:numId w:val="0"/>
        </w:numPr>
        <w:spacing w:line="560" w:lineRule="exact"/>
        <w:jc w:val="both"/>
        <w:rPr>
          <w:rFonts w:ascii="宋体" w:hAnsi="宋体" w:eastAsia="宋体" w:cs="宋体"/>
          <w:w w:val="100"/>
          <w:kern w:val="32"/>
          <w:sz w:val="24"/>
          <w:szCs w:val="24"/>
          <w:highlight w:val="none"/>
        </w:rPr>
      </w:pPr>
      <w:bookmarkStart w:id="15" w:name="_Toc7800"/>
      <w:bookmarkStart w:id="16" w:name="_Toc26871"/>
      <w:bookmarkStart w:id="17" w:name="_Toc17449"/>
      <w:bookmarkStart w:id="18" w:name="_Toc12086"/>
      <w:bookmarkStart w:id="19" w:name="_Toc227423930"/>
      <w:r>
        <w:rPr>
          <w:rFonts w:hint="eastAsia" w:ascii="宋体" w:hAnsi="宋体" w:eastAsia="宋体" w:cs="宋体"/>
          <w:w w:val="100"/>
          <w:kern w:val="32"/>
          <w:sz w:val="24"/>
          <w:szCs w:val="24"/>
          <w:highlight w:val="none"/>
        </w:rPr>
        <w:t>一   项目概况（具体情况详见清单）</w:t>
      </w:r>
      <w:bookmarkEnd w:id="15"/>
    </w:p>
    <w:p>
      <w:pPr>
        <w:spacing w:line="360" w:lineRule="auto"/>
        <w:rPr>
          <w:rFonts w:ascii="宋体" w:hAnsi="宋体" w:cs="宋体"/>
          <w:sz w:val="24"/>
          <w:szCs w:val="24"/>
          <w:highlight w:val="none"/>
        </w:rPr>
      </w:pPr>
      <w:r>
        <w:rPr>
          <w:rFonts w:hint="eastAsia" w:ascii="宋体" w:hAnsi="宋体" w:cs="宋体"/>
          <w:bCs/>
          <w:sz w:val="24"/>
          <w:szCs w:val="24"/>
          <w:highlight w:val="none"/>
        </w:rPr>
        <w:t>1、地点：</w:t>
      </w:r>
      <w:r>
        <w:rPr>
          <w:rFonts w:hint="eastAsia" w:ascii="宋体" w:hAnsi="宋体" w:cs="宋体"/>
          <w:sz w:val="24"/>
          <w:szCs w:val="24"/>
          <w:highlight w:val="none"/>
        </w:rPr>
        <w:t>本项目位于湖南新五丰股份有限公司永安分公司场内</w:t>
      </w:r>
    </w:p>
    <w:p>
      <w:pPr>
        <w:spacing w:line="360" w:lineRule="auto"/>
        <w:rPr>
          <w:rFonts w:ascii="宋体" w:hAnsi="宋体" w:cs="宋体"/>
          <w:sz w:val="24"/>
          <w:szCs w:val="24"/>
          <w:highlight w:val="none"/>
        </w:rPr>
      </w:pPr>
      <w:r>
        <w:rPr>
          <w:rFonts w:hint="eastAsia" w:ascii="宋体" w:hAnsi="宋体" w:cs="宋体"/>
          <w:bCs/>
          <w:sz w:val="24"/>
          <w:szCs w:val="24"/>
          <w:highlight w:val="none"/>
        </w:rPr>
        <w:t>2、改造内容：</w:t>
      </w:r>
      <w:bookmarkStart w:id="20" w:name="_Toc43609884"/>
      <w:bookmarkStart w:id="21" w:name="_Toc43608973"/>
      <w:bookmarkStart w:id="22" w:name="_Toc43609779"/>
      <w:bookmarkStart w:id="23" w:name="_Toc43611498"/>
      <w:bookmarkStart w:id="24" w:name="_Toc100825986"/>
      <w:r>
        <w:rPr>
          <w:rFonts w:hint="eastAsia" w:ascii="宋体" w:hAnsi="宋体" w:cs="宋体"/>
          <w:sz w:val="24"/>
          <w:szCs w:val="24"/>
          <w:highlight w:val="none"/>
        </w:rPr>
        <w:t>详见工程量清单。</w:t>
      </w:r>
    </w:p>
    <w:p>
      <w:pPr>
        <w:pStyle w:val="77"/>
        <w:spacing w:line="360" w:lineRule="auto"/>
        <w:ind w:firstLine="0" w:firstLineChars="0"/>
        <w:rPr>
          <w:rFonts w:ascii="宋体" w:hAnsi="宋体" w:cs="宋体"/>
          <w:sz w:val="24"/>
          <w:szCs w:val="24"/>
          <w:highlight w:val="none"/>
        </w:rPr>
      </w:pPr>
      <w:r>
        <w:rPr>
          <w:rFonts w:hint="eastAsia" w:ascii="宋体" w:hAnsi="宋体" w:cs="宋体"/>
          <w:b/>
          <w:bCs/>
          <w:sz w:val="24"/>
          <w:szCs w:val="24"/>
          <w:highlight w:val="none"/>
        </w:rPr>
        <w:t>二、售后服务及其他说明：</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1、质保期：一年。</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2、质保期内出现任何质量问题（人为破坏或自然灾害等不可抗力除外），由成交单位负责全免费（免全部工时费、材料费、管理费、财务费等等）更换或维修。</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3、工程质量等级要求：</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质量标准：符合《工程施工质量验收规范》要求验收合格</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技术规范：本项目应严格按照现行最新的施工验收规范进行施工。</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4、工期要求：</w:t>
      </w:r>
      <w:r>
        <w:rPr>
          <w:rFonts w:hint="eastAsia" w:ascii="宋体" w:hAnsi="宋体" w:cs="宋体"/>
          <w:sz w:val="24"/>
          <w:szCs w:val="24"/>
          <w:highlight w:val="none"/>
          <w:lang w:val="en-US" w:eastAsia="zh-CN"/>
        </w:rPr>
        <w:t>45</w:t>
      </w:r>
      <w:r>
        <w:rPr>
          <w:rFonts w:hint="eastAsia" w:ascii="宋体" w:hAnsi="宋体" w:cs="宋体"/>
          <w:sz w:val="24"/>
          <w:szCs w:val="24"/>
          <w:highlight w:val="none"/>
        </w:rPr>
        <w:t>天（具体配合设备改造进度）。</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5、付款方式：按谈判邀请人与中标人签订的合同为准。</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6、结算：</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6.1.工程结算：工程竣工后双方应及时办理工程结算，成交施工方应积极配合，未办理完结算不支付工程尾款，并不计算利息。工程竣工验收后，成交施工方应在30天内提交完整齐备的工程竣工资料和验收资料装整成册交建设方存档，并必须保证所有归档资料的真实性。</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6.2.结算方式：本项目无预付款，结算方式详见合同条款。</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7、验收标准和方法：</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　　验收由建设单位组织有关专业人员，按相关谈判邀请文件技术要求提供的性能指标、国家及行业相关标准进行验收。如验收不合格，建设单位可拒收签收，整改后复检，如仍不合格，采购人可终止合同，损失由成交施工方承担。</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四、谈判报价说明</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1、本工程的实施范围即是谈判报价范围。本工程不设标底，但设有上限值(即本项目谈判邀请预算)，若供应商的报价高于谈判邀请人公布的上限值时，该谈判将被拒绝，视为不合格供应商。</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2、主要材料参照市场行情和本企业技术、经济、管理等综合实力，在保证工期、质量的前提下，以保本微利为原则自主报价，但不能低于企业成本价。</w:t>
      </w: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3、供应商的谈判报价应是完成工程范围及工期的全部，不得以任何理由予以重复。</w:t>
      </w:r>
    </w:p>
    <w:p>
      <w:pPr>
        <w:pStyle w:val="77"/>
        <w:spacing w:line="360" w:lineRule="auto"/>
        <w:ind w:firstLine="0" w:firstLineChars="0"/>
        <w:rPr>
          <w:rFonts w:ascii="宋体" w:hAnsi="宋体" w:cs="宋体"/>
          <w:sz w:val="24"/>
          <w:szCs w:val="24"/>
          <w:highlight w:val="none"/>
        </w:rPr>
      </w:pPr>
    </w:p>
    <w:p>
      <w:pPr>
        <w:pStyle w:val="7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 xml:space="preserve">工程用材料必须符合设计要求、国家现行材料技术规范和标准以及采购人对有关材料的品牌要求，且应有产品合格证、出厂证明书、合法质监部门检验合格证，并经采购人现场代表确认合格后，方可用于本工程上。 </w:t>
      </w:r>
    </w:p>
    <w:bookmarkEnd w:id="20"/>
    <w:bookmarkEnd w:id="21"/>
    <w:bookmarkEnd w:id="22"/>
    <w:bookmarkEnd w:id="23"/>
    <w:bookmarkEnd w:id="24"/>
    <w:p>
      <w:pPr>
        <w:pStyle w:val="77"/>
        <w:spacing w:line="360" w:lineRule="auto"/>
        <w:ind w:firstLine="480"/>
        <w:rPr>
          <w:rFonts w:ascii="宋体" w:hAnsi="宋体" w:cs="宋体"/>
          <w:sz w:val="24"/>
          <w:szCs w:val="24"/>
          <w:highlight w:val="none"/>
        </w:rPr>
      </w:pPr>
    </w:p>
    <w:p>
      <w:pPr>
        <w:pStyle w:val="4"/>
        <w:spacing w:line="560" w:lineRule="exact"/>
        <w:jc w:val="center"/>
        <w:rPr>
          <w:rFonts w:ascii="宋体" w:hAnsi="宋体" w:cs="宋体"/>
          <w:sz w:val="32"/>
          <w:szCs w:val="32"/>
          <w:highlight w:val="none"/>
        </w:rPr>
      </w:pPr>
      <w:r>
        <w:rPr>
          <w:rFonts w:hint="eastAsia" w:ascii="宋体" w:hAnsi="宋体" w:cs="宋体"/>
          <w:sz w:val="32"/>
          <w:szCs w:val="32"/>
          <w:highlight w:val="none"/>
        </w:rPr>
        <w:t>第四章  合同条款及格式</w:t>
      </w:r>
    </w:p>
    <w:p>
      <w:pPr>
        <w:pStyle w:val="23"/>
        <w:widowControl/>
        <w:snapToGrid w:val="0"/>
        <w:spacing w:line="360" w:lineRule="auto"/>
        <w:ind w:firstLine="480" w:firstLineChars="200"/>
        <w:rPr>
          <w:sz w:val="24"/>
          <w:szCs w:val="24"/>
          <w:highlight w:val="none"/>
        </w:rPr>
      </w:pPr>
      <w:r>
        <w:rPr>
          <w:rFonts w:hint="eastAsia"/>
          <w:sz w:val="24"/>
          <w:szCs w:val="24"/>
          <w:highlight w:val="none"/>
        </w:rPr>
        <w:t>依照《中华人民共和国民法典》、《中华人民共和国建筑法》、及其他有关法律、行政法规，遵循平等、自愿、公平和诚实信用的原则，双方就湖南新五丰股份有限公司</w:t>
      </w:r>
      <w:r>
        <w:rPr>
          <w:rFonts w:hint="eastAsia"/>
          <w:sz w:val="24"/>
          <w:szCs w:val="24"/>
          <w:highlight w:val="none"/>
          <w:u w:val="single"/>
        </w:rPr>
        <w:t xml:space="preserve"> 永安分公司</w:t>
      </w:r>
      <w:r>
        <w:rPr>
          <w:rFonts w:hint="eastAsia"/>
          <w:sz w:val="24"/>
          <w:szCs w:val="24"/>
          <w:highlight w:val="none"/>
          <w:u w:val="single"/>
          <w:lang w:eastAsia="zh-CN"/>
        </w:rPr>
        <w:t>污水处理厂电路改造工程</w:t>
      </w:r>
      <w:r>
        <w:rPr>
          <w:rFonts w:hint="eastAsia"/>
          <w:sz w:val="24"/>
          <w:szCs w:val="24"/>
          <w:highlight w:val="none"/>
          <w:u w:val="single"/>
        </w:rPr>
        <w:t xml:space="preserve"> </w:t>
      </w:r>
      <w:r>
        <w:rPr>
          <w:rFonts w:hint="eastAsia"/>
          <w:sz w:val="24"/>
          <w:szCs w:val="24"/>
          <w:highlight w:val="none"/>
        </w:rPr>
        <w:t>事项协商一致，订立本合同。</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一、合同双方</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甲方：</w:t>
      </w:r>
    </w:p>
    <w:p>
      <w:pPr>
        <w:pStyle w:val="23"/>
        <w:widowControl/>
        <w:snapToGrid w:val="0"/>
        <w:spacing w:line="360" w:lineRule="auto"/>
        <w:ind w:firstLine="480" w:firstLineChars="200"/>
        <w:rPr>
          <w:sz w:val="24"/>
          <w:szCs w:val="24"/>
          <w:highlight w:val="none"/>
        </w:rPr>
      </w:pPr>
      <w:r>
        <w:rPr>
          <w:rFonts w:hint="eastAsia"/>
          <w:sz w:val="24"/>
          <w:szCs w:val="24"/>
          <w:highlight w:val="none"/>
        </w:rPr>
        <w:t>乙方：</w:t>
      </w:r>
      <w:r>
        <w:rPr>
          <w:rFonts w:hint="eastAsia"/>
          <w:sz w:val="24"/>
          <w:szCs w:val="24"/>
          <w:highlight w:val="none"/>
          <w:u w:val="single"/>
        </w:rPr>
        <w:t xml:space="preserve">                                    </w:t>
      </w:r>
      <w:r>
        <w:rPr>
          <w:rFonts w:hint="eastAsia"/>
          <w:sz w:val="24"/>
          <w:szCs w:val="24"/>
          <w:highlight w:val="none"/>
        </w:rPr>
        <w:t xml:space="preserve">                          </w:t>
      </w:r>
    </w:p>
    <w:p>
      <w:pPr>
        <w:widowControl/>
        <w:snapToGrid w:val="0"/>
        <w:spacing w:line="360" w:lineRule="auto"/>
        <w:rPr>
          <w:rFonts w:ascii="宋体" w:hAnsi="宋体" w:cs="宋体"/>
          <w:sz w:val="24"/>
          <w:szCs w:val="24"/>
          <w:highlight w:val="none"/>
        </w:rPr>
      </w:pPr>
      <w:r>
        <w:rPr>
          <w:rFonts w:hint="eastAsia" w:ascii="宋体" w:hAnsi="宋体" w:cs="宋体"/>
          <w:b/>
          <w:bCs/>
          <w:sz w:val="24"/>
          <w:szCs w:val="24"/>
          <w:highlight w:val="none"/>
        </w:rPr>
        <w:t>二、工程承包方式、范围、合同价款及施工工期</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1．承包方式：包工包料、包质量、包工期、包安全文明施工、包验收。</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2．工程承包范围：</w:t>
      </w:r>
      <w:r>
        <w:rPr>
          <w:rFonts w:hint="eastAsia" w:ascii="宋体" w:hAnsi="宋体" w:cs="宋体"/>
          <w:b/>
          <w:bCs/>
          <w:sz w:val="24"/>
          <w:szCs w:val="24"/>
          <w:highlight w:val="none"/>
        </w:rPr>
        <w:t>湖南新五丰股份有限公司永安分公司</w:t>
      </w:r>
      <w:r>
        <w:rPr>
          <w:rFonts w:hint="eastAsia" w:ascii="宋体" w:hAnsi="宋体" w:cs="宋体"/>
          <w:b/>
          <w:bCs/>
          <w:sz w:val="24"/>
          <w:szCs w:val="24"/>
          <w:highlight w:val="none"/>
          <w:lang w:eastAsia="zh-CN"/>
        </w:rPr>
        <w:t>污水处理厂电路改造工程</w:t>
      </w:r>
      <w:r>
        <w:rPr>
          <w:rFonts w:hint="eastAsia" w:ascii="宋体" w:hAnsi="宋体" w:cs="宋体"/>
          <w:sz w:val="24"/>
          <w:szCs w:val="24"/>
          <w:highlight w:val="none"/>
        </w:rPr>
        <w:t>，详见工程量清单。</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3．合同总价：</w:t>
      </w:r>
    </w:p>
    <w:p>
      <w:pPr>
        <w:widowControl/>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工程承包范围内的合同总价为：</w:t>
      </w:r>
      <w:r>
        <w:rPr>
          <w:rFonts w:hint="eastAsia" w:ascii="宋体" w:hAnsi="宋体" w:cs="宋体"/>
          <w:sz w:val="24"/>
          <w:szCs w:val="24"/>
          <w:highlight w:val="none"/>
          <w:u w:val="single"/>
        </w:rPr>
        <w:t xml:space="preserve">    </w:t>
      </w:r>
      <w:r>
        <w:rPr>
          <w:rFonts w:hint="eastAsia" w:ascii="宋体" w:hAnsi="宋体" w:cs="宋体"/>
          <w:color w:val="FF0000"/>
          <w:sz w:val="24"/>
          <w:szCs w:val="24"/>
          <w:highlight w:val="none"/>
          <w:u w:val="single"/>
        </w:rPr>
        <w:t xml:space="preserve">  </w:t>
      </w:r>
      <w:r>
        <w:rPr>
          <w:rFonts w:hint="eastAsia" w:ascii="宋体" w:hAnsi="宋体" w:cs="宋体"/>
          <w:sz w:val="24"/>
          <w:szCs w:val="24"/>
          <w:highlight w:val="none"/>
          <w:u w:val="single"/>
        </w:rPr>
        <w:t xml:space="preserve">  </w:t>
      </w:r>
    </w:p>
    <w:p>
      <w:pPr>
        <w:widowControl/>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合同总价包括完成本工程承包范围内所需的一切费用。如合同履行过程中无设计变更，该总价不予调整。</w:t>
      </w:r>
    </w:p>
    <w:p>
      <w:pPr>
        <w:widowControl/>
        <w:numPr>
          <w:ilvl w:val="0"/>
          <w:numId w:val="2"/>
        </w:numPr>
        <w:snapToGrid w:val="0"/>
        <w:spacing w:line="360" w:lineRule="auto"/>
        <w:rPr>
          <w:rFonts w:ascii="宋体" w:hAnsi="宋体" w:cs="宋体"/>
          <w:sz w:val="24"/>
          <w:szCs w:val="24"/>
          <w:highlight w:val="none"/>
        </w:rPr>
      </w:pPr>
      <w:r>
        <w:rPr>
          <w:rFonts w:hint="eastAsia" w:ascii="宋体" w:hAnsi="宋体" w:cs="宋体"/>
          <w:sz w:val="24"/>
          <w:szCs w:val="24"/>
          <w:highlight w:val="none"/>
        </w:rPr>
        <w:t>总工期为</w:t>
      </w:r>
      <w:r>
        <w:rPr>
          <w:rFonts w:hint="eastAsia" w:ascii="宋体" w:hAnsi="宋体" w:cs="宋体"/>
          <w:sz w:val="24"/>
          <w:szCs w:val="24"/>
          <w:highlight w:val="none"/>
          <w:lang w:val="en-US" w:eastAsia="zh-CN"/>
        </w:rPr>
        <w:t>45</w:t>
      </w:r>
      <w:r>
        <w:rPr>
          <w:rFonts w:hint="eastAsia" w:ascii="宋体" w:hAnsi="宋体" w:cs="宋体"/>
          <w:sz w:val="24"/>
          <w:szCs w:val="24"/>
          <w:highlight w:val="none"/>
        </w:rPr>
        <w:t>天日历工期。</w:t>
      </w:r>
    </w:p>
    <w:p>
      <w:pPr>
        <w:widowControl/>
        <w:numPr>
          <w:ilvl w:val="0"/>
          <w:numId w:val="3"/>
        </w:num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开工日期：  年   月</w:t>
      </w:r>
      <w:r>
        <w:rPr>
          <w:rFonts w:hint="eastAsia" w:ascii="宋体" w:hAnsi="宋体" w:cs="宋体"/>
          <w:color w:val="FF0000"/>
          <w:sz w:val="24"/>
          <w:szCs w:val="24"/>
          <w:highlight w:val="none"/>
        </w:rPr>
        <w:t xml:space="preserve"> </w:t>
      </w:r>
      <w:r>
        <w:rPr>
          <w:rFonts w:hint="eastAsia" w:ascii="宋体" w:hAnsi="宋体" w:cs="宋体"/>
          <w:sz w:val="24"/>
          <w:szCs w:val="24"/>
          <w:highlight w:val="none"/>
        </w:rPr>
        <w:t xml:space="preserve"> 日     竣工日期：  年</w:t>
      </w:r>
      <w:r>
        <w:rPr>
          <w:rFonts w:hint="eastAsia" w:ascii="宋体" w:hAnsi="宋体" w:cs="宋体"/>
          <w:color w:val="FF0000"/>
          <w:sz w:val="24"/>
          <w:szCs w:val="24"/>
          <w:highlight w:val="none"/>
        </w:rPr>
        <w:t xml:space="preserve"> </w:t>
      </w:r>
      <w:r>
        <w:rPr>
          <w:rFonts w:hint="eastAsia" w:ascii="宋体" w:hAnsi="宋体" w:cs="宋体"/>
          <w:sz w:val="24"/>
          <w:szCs w:val="24"/>
          <w:highlight w:val="none"/>
        </w:rPr>
        <w:t xml:space="preserve"> 月</w:t>
      </w:r>
      <w:r>
        <w:rPr>
          <w:rFonts w:hint="eastAsia" w:ascii="宋体" w:hAnsi="宋体" w:cs="宋体"/>
          <w:color w:val="FF0000"/>
          <w:sz w:val="24"/>
          <w:szCs w:val="24"/>
          <w:highlight w:val="none"/>
        </w:rPr>
        <w:t xml:space="preserve">   </w:t>
      </w:r>
      <w:r>
        <w:rPr>
          <w:rFonts w:hint="eastAsia" w:ascii="宋体" w:hAnsi="宋体" w:cs="宋体"/>
          <w:sz w:val="24"/>
          <w:szCs w:val="24"/>
          <w:highlight w:val="none"/>
        </w:rPr>
        <w:t>日</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三、工程管理</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1．在合同生效后三日内，乙方应成立本工程的项目部，项目部名单须和谈判文件中名单一致；未经甲方同意，不得更换项目经理及主要技术人员。</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2．项目经理及主要施工管理人员未经甲方同意不可更换，并要求到岗率100％，并不得同时管理其它工程 。如有违反此条规定，将处以最低不少于1000.00元。</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3．甲乙双方认可的工程量、说明和有关资料，作为施工的有效依据，不得擅自修改。</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4．乙方应做到文明施工，保证施工场地整洁，施工垃圾应清运出施工场区或委托物业公司清运（需向其缴纳费用）。</w:t>
      </w:r>
    </w:p>
    <w:p>
      <w:pPr>
        <w:widowControl/>
        <w:tabs>
          <w:tab w:val="left" w:pos="483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在施工过程中，乙方应对本工程成品保护负责，在未验收交付前成品保护工作由乙方负责。乙方必须严格保护建筑物结构及相应管线和设备，严禁在建筑结构上乱开乱挖。乙方不得损坏其它设施设备，并不得擅自使用未经甲方同意的设备设施，否则由此造成的损失，将在工程决算中予以扣除。如遇必须拆除的，且谈判邀请工程量清单无此项工程量，甲方须按实际情况进行处理，并增加相应的拆除及恢复工程量。</w:t>
      </w:r>
    </w:p>
    <w:p>
      <w:pPr>
        <w:widowControl/>
        <w:tabs>
          <w:tab w:val="left" w:pos="483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6．本工程材料采购必须符合乙方在谈判中提供的材料样本，在采购材料前必须经过甲方的确认，否则由此造成的损失由乙方负责。</w:t>
      </w:r>
    </w:p>
    <w:p>
      <w:pPr>
        <w:widowControl/>
        <w:tabs>
          <w:tab w:val="left" w:pos="483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7．乙方施工期间应做到规范、文明施工，及时按验收规范要求健全技术、质量、安全文明资料。</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四、工程质量及技术要求</w:t>
      </w:r>
    </w:p>
    <w:p>
      <w:pPr>
        <w:widowControl/>
        <w:numPr>
          <w:ilvl w:val="0"/>
          <w:numId w:val="4"/>
        </w:numPr>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修建工程中的各项内容必须按照设计、现行的施工行业标准、国家标准与规范进行。</w:t>
      </w:r>
    </w:p>
    <w:p>
      <w:pPr>
        <w:widowControl/>
        <w:numPr>
          <w:ilvl w:val="0"/>
          <w:numId w:val="4"/>
        </w:numPr>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验收除按国家和省市验收规范及有关规定和标准执行外，并根据认定的样板材质及有关会议确认的文件进行验收。</w:t>
      </w:r>
    </w:p>
    <w:p>
      <w:pPr>
        <w:widowControl/>
        <w:numPr>
          <w:ilvl w:val="0"/>
          <w:numId w:val="4"/>
        </w:numPr>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乙方采购的材料必须符合国家相关规定，并提供产品合格证、检验（试验）报告，且应与谈判时上报甲方的封样一致。否则，不得在本工程使用。暂定材料需经甲方认可后方能采购。</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五、图纸及可能发生的变更</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1．工程竣工图：本工程竣工后7日内，乙方应向甲方提供贰份竣工资料及叁份竣工图。该部分费用包含在总价中。</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2．施工过程中涉及的修改和增加任务由乙方完成，但需经甲方确认才能作为变更依据。</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乙方在施工中提出的合理化建议涉及到对设计或施工组织设计的更改及对材料、设备的换用，须经甲方同意。未经同意擅自更改或换用时，乙方承担由此发生的全部费用，并赔偿甲方的有关损失，延误的工期不予顺延。</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六、工期及验收</w:t>
      </w:r>
    </w:p>
    <w:p>
      <w:pPr>
        <w:widowControl/>
        <w:snapToGrid w:val="0"/>
        <w:spacing w:line="360" w:lineRule="auto"/>
        <w:ind w:firstLine="600" w:firstLineChars="250"/>
        <w:rPr>
          <w:rFonts w:ascii="宋体" w:hAnsi="宋体" w:cs="宋体"/>
          <w:b/>
          <w:bCs/>
          <w:sz w:val="24"/>
          <w:szCs w:val="24"/>
          <w:highlight w:val="none"/>
        </w:rPr>
      </w:pPr>
      <w:r>
        <w:rPr>
          <w:rFonts w:hint="eastAsia" w:ascii="宋体" w:hAnsi="宋体" w:cs="宋体"/>
          <w:sz w:val="24"/>
          <w:szCs w:val="24"/>
          <w:highlight w:val="none"/>
        </w:rPr>
        <w:t>1. 工程总工期应按照合同规定执行，每延误一天，罚款人民币</w:t>
      </w:r>
      <w:r>
        <w:rPr>
          <w:rFonts w:hint="eastAsia" w:ascii="宋体" w:hAnsi="宋体" w:cs="宋体"/>
          <w:b/>
          <w:bCs/>
          <w:sz w:val="24"/>
          <w:szCs w:val="24"/>
          <w:highlight w:val="none"/>
        </w:rPr>
        <w:t>贰仟元</w:t>
      </w:r>
      <w:r>
        <w:rPr>
          <w:rFonts w:hint="eastAsia" w:ascii="宋体" w:hAnsi="宋体" w:cs="宋体"/>
          <w:sz w:val="24"/>
          <w:szCs w:val="24"/>
          <w:highlight w:val="none"/>
        </w:rPr>
        <w:t xml:space="preserve">整。工程验收必须达到合格标准。如达不到合格标准必须返工重做直至达到标准，由此产生的一切损失由乙方单位负责。 </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七、保修要求</w:t>
      </w:r>
    </w:p>
    <w:p>
      <w:pPr>
        <w:widowControl/>
        <w:autoSpaceDE w:val="0"/>
        <w:autoSpaceDN w:val="0"/>
        <w:adjustRightInd w:val="0"/>
        <w:snapToGrid w:val="0"/>
        <w:spacing w:line="360" w:lineRule="auto"/>
        <w:ind w:left="1" w:firstLine="540" w:firstLineChars="225"/>
        <w:jc w:val="left"/>
        <w:rPr>
          <w:rFonts w:ascii="宋体" w:hAnsi="宋体" w:cs="宋体"/>
          <w:sz w:val="24"/>
          <w:szCs w:val="24"/>
          <w:highlight w:val="none"/>
        </w:rPr>
      </w:pPr>
      <w:r>
        <w:rPr>
          <w:rFonts w:hint="eastAsia" w:ascii="宋体" w:hAnsi="宋体" w:cs="宋体"/>
          <w:sz w:val="24"/>
          <w:szCs w:val="24"/>
          <w:highlight w:val="none"/>
        </w:rPr>
        <w:t>1．工程质量经竣工验收达到合格标准后，</w:t>
      </w:r>
      <w:r>
        <w:rPr>
          <w:rFonts w:hint="eastAsia" w:ascii="宋体" w:hAnsi="宋体" w:cs="宋体"/>
          <w:sz w:val="24"/>
          <w:szCs w:val="24"/>
          <w:highlight w:val="none"/>
          <w:u w:val="single"/>
        </w:rPr>
        <w:t>一年</w:t>
      </w:r>
      <w:r>
        <w:rPr>
          <w:rFonts w:hint="eastAsia" w:ascii="宋体" w:hAnsi="宋体" w:cs="宋体"/>
          <w:sz w:val="24"/>
          <w:szCs w:val="24"/>
          <w:highlight w:val="none"/>
        </w:rPr>
        <w:t>内负责免费保修。保修期从工程竣工验收合格之日起开始计算。</w:t>
      </w:r>
    </w:p>
    <w:p>
      <w:pPr>
        <w:widowControl/>
        <w:autoSpaceDE w:val="0"/>
        <w:autoSpaceDN w:val="0"/>
        <w:adjustRightInd w:val="0"/>
        <w:snapToGrid w:val="0"/>
        <w:spacing w:line="360" w:lineRule="auto"/>
        <w:ind w:firstLine="540" w:firstLineChars="225"/>
        <w:jc w:val="left"/>
        <w:rPr>
          <w:rFonts w:ascii="宋体" w:hAnsi="宋体" w:cs="宋体"/>
          <w:sz w:val="24"/>
          <w:szCs w:val="24"/>
          <w:highlight w:val="none"/>
        </w:rPr>
      </w:pPr>
      <w:r>
        <w:rPr>
          <w:rFonts w:hint="eastAsia" w:ascii="宋体" w:hAnsi="宋体" w:cs="宋体"/>
          <w:sz w:val="24"/>
          <w:szCs w:val="24"/>
          <w:highlight w:val="none"/>
        </w:rPr>
        <w:t>2．保修期内，乙方应在接到甲方通知后三天内到场保修，且应保证维修质量，不得出现针对同一问题重复维修的情况。否则，甲方将另派人员修理，修理费从保修金中按实扣支。</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八、安全防护</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乙方应对进场施工人员进行安全、质量和文明施工教育，制定安全、文明规章制度和有效的安全防护措施。由于乙方自身原因造成的安全事故，由乙方承担责任和一切费用。</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九、双方职责</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（一）甲方职责：</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在乙方进场施工前，提供材料堆放场地、临时设施场地、水源和电源。</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 xml:space="preserve">负责协调、确认施工成品损坏的原因、责任及赔偿。 </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按合同规定向乙方支付工程款。</w:t>
      </w:r>
    </w:p>
    <w:p>
      <w:pPr>
        <w:widowControl/>
        <w:numPr>
          <w:ilvl w:val="0"/>
          <w:numId w:val="5"/>
        </w:numPr>
        <w:tabs>
          <w:tab w:val="left" w:pos="900"/>
          <w:tab w:val="clear" w:pos="420"/>
        </w:tabs>
        <w:snapToGrid w:val="0"/>
        <w:spacing w:line="360" w:lineRule="auto"/>
        <w:ind w:left="896" w:hanging="357"/>
        <w:rPr>
          <w:rFonts w:ascii="宋体" w:hAnsi="宋体" w:cs="宋体"/>
          <w:sz w:val="24"/>
          <w:szCs w:val="24"/>
          <w:highlight w:val="none"/>
        </w:rPr>
      </w:pPr>
      <w:r>
        <w:rPr>
          <w:rFonts w:hint="eastAsia" w:ascii="宋体" w:hAnsi="宋体" w:cs="宋体"/>
          <w:sz w:val="24"/>
          <w:szCs w:val="24"/>
          <w:highlight w:val="none"/>
        </w:rPr>
        <w:t xml:space="preserve">甲方提供堆放建筑垃圾的场地。 </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（二）乙方职责：</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本合同内容必须由乙方全部自行完成，不得转包。</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必须按照经甲方认可的工程量清单及有关施工规程、规范和标准进行施工，并接受甲方派驻现场管理代表的监督。乙方必须无条件服从甲方关于进度、质量、安全、文明施工等方面的检查和整改意见，并及时整改直到符合合同及规范要求。</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乙方应按质量检验评定标准对工程的分项、分部质量进行自检自评，并及时将评定结果和完整齐全的技术质量资料送交甲方，便于验收。</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 xml:space="preserve">乙方应根据现场实际情况制定施工计划，经甲方审核后认真实施。 </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乙方在施工过程中发生质量事故，应及时报告甲方，处理方案应经甲方同意后实施。</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 xml:space="preserve">由于乙方原因造成质量、安全事故的，一切费用及责任均由乙方自行承担。 </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 xml:space="preserve">乙方必须保护所有建筑结构和安装的成品。 </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乙方在工程验收前必须将施工中产生的垃圾等废弃物清运干净。</w:t>
      </w:r>
    </w:p>
    <w:p>
      <w:pPr>
        <w:widowControl/>
        <w:numPr>
          <w:ilvl w:val="0"/>
          <w:numId w:val="6"/>
        </w:numPr>
        <w:tabs>
          <w:tab w:val="left" w:pos="0"/>
          <w:tab w:val="clear" w:pos="420"/>
        </w:tabs>
        <w:snapToGrid w:val="0"/>
        <w:spacing w:line="360" w:lineRule="auto"/>
        <w:ind w:left="0" w:firstLine="539"/>
        <w:rPr>
          <w:rFonts w:ascii="宋体" w:hAnsi="宋体" w:cs="宋体"/>
          <w:sz w:val="24"/>
          <w:szCs w:val="24"/>
          <w:highlight w:val="none"/>
          <w:u w:val="wave" w:color="FF0000"/>
        </w:rPr>
      </w:pPr>
      <w:r>
        <w:rPr>
          <w:rFonts w:hint="eastAsia" w:ascii="宋体" w:hAnsi="宋体" w:cs="宋体"/>
          <w:sz w:val="24"/>
          <w:szCs w:val="24"/>
          <w:highlight w:val="none"/>
        </w:rPr>
        <w:t>如乙方违反以上乙方职责，在接到甲方书面通知后还未整改，甲方有权实行相应的经济处罚，处罚费用从乙方工程款中扣除。</w:t>
      </w:r>
    </w:p>
    <w:p>
      <w:pPr>
        <w:pStyle w:val="77"/>
        <w:widowControl/>
        <w:numPr>
          <w:ilvl w:val="0"/>
          <w:numId w:val="6"/>
        </w:numPr>
        <w:tabs>
          <w:tab w:val="left" w:pos="0"/>
        </w:tabs>
        <w:snapToGrid w:val="0"/>
        <w:spacing w:line="360" w:lineRule="auto"/>
        <w:ind w:firstLineChars="0"/>
        <w:rPr>
          <w:rFonts w:ascii="宋体" w:hAnsi="宋体" w:cs="宋体"/>
          <w:sz w:val="24"/>
          <w:szCs w:val="24"/>
          <w:highlight w:val="none"/>
        </w:rPr>
      </w:pPr>
      <w:r>
        <w:rPr>
          <w:rFonts w:hint="eastAsia" w:ascii="宋体" w:hAnsi="宋体" w:cs="宋体"/>
          <w:sz w:val="24"/>
          <w:szCs w:val="24"/>
          <w:highlight w:val="none"/>
        </w:rPr>
        <w:t>乙方负责本项目施工时应处理好周边关系协调工作，不能以周边关系为由影响双方约定的完成工期。</w:t>
      </w:r>
    </w:p>
    <w:p>
      <w:pPr>
        <w:pStyle w:val="2"/>
        <w:spacing w:after="312"/>
        <w:ind w:left="420" w:firstLine="0" w:firstLineChars="0"/>
        <w:rPr>
          <w:highlight w:val="none"/>
          <w:lang w:val="en-US"/>
        </w:rPr>
      </w:pPr>
    </w:p>
    <w:p>
      <w:pPr>
        <w:pStyle w:val="2"/>
        <w:spacing w:after="312"/>
        <w:ind w:left="420" w:firstLine="0" w:firstLineChars="0"/>
        <w:rPr>
          <w:highlight w:val="none"/>
          <w:lang w:val="en-US"/>
        </w:rPr>
      </w:pPr>
    </w:p>
    <w:p>
      <w:pPr>
        <w:widowControl/>
        <w:snapToGrid w:val="0"/>
        <w:spacing w:line="360" w:lineRule="auto"/>
        <w:ind w:left="539"/>
        <w:rPr>
          <w:rFonts w:ascii="宋体" w:hAnsi="宋体" w:cs="宋体"/>
          <w:b/>
          <w:bCs/>
          <w:sz w:val="24"/>
          <w:szCs w:val="24"/>
          <w:highlight w:val="none"/>
        </w:rPr>
      </w:pPr>
      <w:r>
        <w:rPr>
          <w:rFonts w:hint="eastAsia" w:ascii="宋体" w:hAnsi="宋体" w:cs="宋体"/>
          <w:b/>
          <w:bCs/>
          <w:sz w:val="24"/>
          <w:szCs w:val="24"/>
          <w:highlight w:val="none"/>
        </w:rPr>
        <w:t>十、付款方式及期限：</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kern w:val="0"/>
          <w:sz w:val="24"/>
          <w:szCs w:val="24"/>
          <w:highlight w:val="none"/>
        </w:rPr>
      </w:pPr>
      <w:r>
        <w:rPr>
          <w:rFonts w:hint="eastAsia" w:ascii="宋体" w:hAnsi="宋体" w:cs="宋体"/>
          <w:kern w:val="0"/>
          <w:sz w:val="24"/>
          <w:szCs w:val="24"/>
          <w:highlight w:val="none"/>
        </w:rPr>
        <w:t>乙方在竣工验收合格后15天内提供工程结算书，甲方在30天内予以审核。双方核定工程总造价后，甲方在15个工作日内一次性支付工程款至结算总造价的97%，余下3%作为保修押金。保修壹年，期满后无质量问题，七天内无息退还。</w:t>
      </w:r>
    </w:p>
    <w:p>
      <w:pPr>
        <w:widowControl/>
        <w:numPr>
          <w:ilvl w:val="0"/>
          <w:numId w:val="7"/>
        </w:numPr>
        <w:tabs>
          <w:tab w:val="left" w:pos="720"/>
        </w:tabs>
        <w:autoSpaceDE w:val="0"/>
        <w:autoSpaceDN w:val="0"/>
        <w:adjustRightInd w:val="0"/>
        <w:snapToGrid w:val="0"/>
        <w:spacing w:line="276" w:lineRule="auto"/>
        <w:ind w:left="0" w:firstLine="539"/>
        <w:jc w:val="left"/>
        <w:rPr>
          <w:rFonts w:ascii="宋体"/>
          <w:kern w:val="0"/>
          <w:sz w:val="24"/>
          <w:highlight w:val="none"/>
        </w:rPr>
      </w:pPr>
      <w:r>
        <w:rPr>
          <w:rFonts w:hint="eastAsia" w:cs="宋体"/>
          <w:sz w:val="24"/>
          <w:highlight w:val="none"/>
        </w:rPr>
        <w:t>本合同中甲方支付合同价款的时间均从收到乙方相应阶段的工程发票时开始计算。乙方必须向甲方开具税务部门的正规税务发票。</w:t>
      </w:r>
    </w:p>
    <w:p>
      <w:pPr>
        <w:widowControl/>
        <w:numPr>
          <w:ilvl w:val="0"/>
          <w:numId w:val="7"/>
        </w:numPr>
        <w:tabs>
          <w:tab w:val="left" w:pos="720"/>
        </w:tabs>
        <w:autoSpaceDE w:val="0"/>
        <w:autoSpaceDN w:val="0"/>
        <w:adjustRightInd w:val="0"/>
        <w:snapToGrid w:val="0"/>
        <w:spacing w:line="360" w:lineRule="auto"/>
        <w:ind w:left="0" w:firstLine="539"/>
        <w:jc w:val="left"/>
        <w:rPr>
          <w:rFonts w:ascii="宋体" w:hAnsi="宋体" w:cs="宋体"/>
          <w:sz w:val="24"/>
          <w:szCs w:val="24"/>
          <w:highlight w:val="none"/>
        </w:rPr>
      </w:pPr>
      <w:r>
        <w:rPr>
          <w:rFonts w:hint="eastAsia" w:ascii="宋体" w:hAnsi="宋体" w:cs="宋体"/>
          <w:sz w:val="24"/>
          <w:szCs w:val="24"/>
          <w:highlight w:val="none"/>
        </w:rPr>
        <w:t>甲方按照本合同中约定的乙方银行、账号支付合同款。</w:t>
      </w:r>
    </w:p>
    <w:p>
      <w:pPr>
        <w:pStyle w:val="77"/>
        <w:widowControl/>
        <w:numPr>
          <w:ilvl w:val="0"/>
          <w:numId w:val="7"/>
        </w:numPr>
        <w:tabs>
          <w:tab w:val="left" w:pos="720"/>
        </w:tabs>
        <w:autoSpaceDE w:val="0"/>
        <w:autoSpaceDN w:val="0"/>
        <w:adjustRightInd w:val="0"/>
        <w:snapToGrid w:val="0"/>
        <w:spacing w:line="276" w:lineRule="auto"/>
        <w:ind w:firstLineChars="0"/>
        <w:jc w:val="left"/>
        <w:rPr>
          <w:rFonts w:cs="宋体"/>
          <w:sz w:val="24"/>
          <w:highlight w:val="none"/>
        </w:rPr>
      </w:pPr>
      <w:r>
        <w:rPr>
          <w:rFonts w:hint="eastAsia" w:cs="宋体"/>
          <w:sz w:val="24"/>
          <w:highlight w:val="none"/>
        </w:rPr>
        <w:t xml:space="preserve">分公司发票抬头：湖南新五丰股份有限公司永安分公司                             </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税号：91430100717047690R</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公司地址：湖南省浏阳市永安镇狮潭村</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公司电话 ：0731—83260988</w:t>
      </w:r>
    </w:p>
    <w:p>
      <w:pPr>
        <w:pStyle w:val="77"/>
        <w:widowControl/>
        <w:tabs>
          <w:tab w:val="left" w:pos="720"/>
        </w:tabs>
        <w:autoSpaceDE w:val="0"/>
        <w:autoSpaceDN w:val="0"/>
        <w:adjustRightInd w:val="0"/>
        <w:snapToGrid w:val="0"/>
        <w:spacing w:line="276" w:lineRule="auto"/>
        <w:ind w:left="960" w:firstLine="0" w:firstLineChars="0"/>
        <w:jc w:val="left"/>
        <w:rPr>
          <w:rFonts w:cs="宋体"/>
          <w:sz w:val="24"/>
          <w:highlight w:val="none"/>
        </w:rPr>
      </w:pPr>
      <w:r>
        <w:rPr>
          <w:rFonts w:hint="eastAsia" w:cs="宋体"/>
          <w:sz w:val="24"/>
          <w:highlight w:val="none"/>
        </w:rPr>
        <w:t>开户银行：中国农业银行股份有限公司浏阳永安支行</w:t>
      </w:r>
    </w:p>
    <w:p>
      <w:pPr>
        <w:widowControl/>
        <w:tabs>
          <w:tab w:val="left" w:pos="720"/>
        </w:tabs>
        <w:autoSpaceDE w:val="0"/>
        <w:autoSpaceDN w:val="0"/>
        <w:adjustRightInd w:val="0"/>
        <w:snapToGrid w:val="0"/>
        <w:spacing w:line="276" w:lineRule="auto"/>
        <w:ind w:firstLine="960" w:firstLineChars="400"/>
        <w:jc w:val="left"/>
        <w:rPr>
          <w:rFonts w:ascii="宋体"/>
          <w:kern w:val="0"/>
          <w:sz w:val="24"/>
          <w:highlight w:val="none"/>
        </w:rPr>
      </w:pPr>
      <w:r>
        <w:rPr>
          <w:rFonts w:hint="eastAsia" w:cs="宋体"/>
          <w:sz w:val="24"/>
          <w:highlight w:val="none"/>
        </w:rPr>
        <w:t>银行账号：18—013801040000743</w:t>
      </w:r>
    </w:p>
    <w:p>
      <w:pPr>
        <w:widowControl/>
        <w:tabs>
          <w:tab w:val="right" w:pos="8312"/>
        </w:tabs>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十一、违约责任</w:t>
      </w:r>
      <w:r>
        <w:rPr>
          <w:rFonts w:hint="eastAsia" w:ascii="宋体" w:hAnsi="宋体" w:cs="宋体"/>
          <w:b/>
          <w:bCs/>
          <w:sz w:val="24"/>
          <w:szCs w:val="24"/>
          <w:highlight w:val="none"/>
        </w:rPr>
        <w:tab/>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highlight w:val="none"/>
        </w:rPr>
      </w:pPr>
      <w:r>
        <w:rPr>
          <w:rFonts w:hint="eastAsia" w:ascii="宋体" w:hAnsi="宋体" w:cs="宋体"/>
          <w:sz w:val="24"/>
          <w:szCs w:val="24"/>
          <w:highlight w:val="none"/>
        </w:rPr>
        <w:t>甲乙任何一方如不能按期履行合同所规定的义务，每逾期一日，除工期奖罚外，按合同总价千分之一承担违约金（工期奖罚按本合同第六条第一款）。</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highlight w:val="none"/>
        </w:rPr>
      </w:pPr>
      <w:r>
        <w:rPr>
          <w:rFonts w:hint="eastAsia" w:ascii="宋体" w:hAnsi="宋体" w:cs="宋体"/>
          <w:sz w:val="24"/>
          <w:szCs w:val="24"/>
          <w:highlight w:val="none"/>
        </w:rPr>
        <w:t>由于乙方原因不能继续履行合同或完成工程时，经双方协商同意可解除合同，但必须赔偿相应损失，并向甲方支付合同总价的10％作为违约金。</w:t>
      </w:r>
    </w:p>
    <w:p>
      <w:pPr>
        <w:widowControl/>
        <w:numPr>
          <w:ilvl w:val="0"/>
          <w:numId w:val="8"/>
        </w:numPr>
        <w:tabs>
          <w:tab w:val="left" w:pos="0"/>
          <w:tab w:val="clear" w:pos="420"/>
        </w:tabs>
        <w:snapToGrid w:val="0"/>
        <w:spacing w:line="360" w:lineRule="auto"/>
        <w:ind w:left="0" w:right="-11" w:firstLine="539"/>
        <w:rPr>
          <w:rFonts w:ascii="宋体" w:hAnsi="宋体" w:cs="宋体"/>
          <w:sz w:val="24"/>
          <w:szCs w:val="24"/>
          <w:highlight w:val="none"/>
        </w:rPr>
      </w:pPr>
      <w:r>
        <w:rPr>
          <w:rFonts w:hint="eastAsia" w:ascii="宋体" w:hAnsi="宋体" w:cs="宋体"/>
          <w:sz w:val="24"/>
          <w:szCs w:val="24"/>
          <w:highlight w:val="none"/>
        </w:rPr>
        <w:t>合同签订后，因甲方原因引起乙方不能履行合同时，应向乙方支付实际发生的费用。</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十二、合同价款及调整</w:t>
      </w:r>
    </w:p>
    <w:p>
      <w:pPr>
        <w:widowControl/>
        <w:numPr>
          <w:ilvl w:val="0"/>
          <w:numId w:val="9"/>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合同价款在合同签订后，任何一方不得擅自改变。协议条款中另有约定的或发生下列情况之一的可做调整：甲方确认的设计变更或工程洽商。</w:t>
      </w:r>
    </w:p>
    <w:p>
      <w:pPr>
        <w:widowControl/>
        <w:numPr>
          <w:ilvl w:val="0"/>
          <w:numId w:val="9"/>
        </w:numPr>
        <w:tabs>
          <w:tab w:val="left" w:pos="0"/>
          <w:tab w:val="clear" w:pos="420"/>
        </w:tabs>
        <w:snapToGrid w:val="0"/>
        <w:spacing w:line="360" w:lineRule="auto"/>
        <w:ind w:left="0" w:firstLine="539"/>
        <w:rPr>
          <w:rFonts w:ascii="宋体" w:hAnsi="宋体" w:cs="宋体"/>
          <w:sz w:val="24"/>
          <w:szCs w:val="24"/>
          <w:highlight w:val="none"/>
        </w:rPr>
      </w:pPr>
      <w:r>
        <w:rPr>
          <w:rFonts w:hint="eastAsia" w:ascii="宋体" w:hAnsi="宋体" w:cs="宋体"/>
          <w:sz w:val="24"/>
          <w:szCs w:val="24"/>
          <w:highlight w:val="none"/>
        </w:rPr>
        <w:t>如发生上述情况，乙方应在情况发生后三日内，将调整的原因及涉及金额以书面形式通知甲方，甲方确认后作为结算依据。</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十三、仲裁</w:t>
      </w:r>
    </w:p>
    <w:p>
      <w:pPr>
        <w:pStyle w:val="17"/>
        <w:widowControl/>
        <w:snapToGrid w:val="0"/>
        <w:spacing w:line="360" w:lineRule="auto"/>
        <w:ind w:left="0" w:firstLine="480" w:firstLineChars="200"/>
        <w:rPr>
          <w:rFonts w:hAnsi="宋体" w:cs="宋体"/>
          <w:szCs w:val="24"/>
          <w:highlight w:val="none"/>
        </w:rPr>
      </w:pPr>
      <w:r>
        <w:rPr>
          <w:rFonts w:hint="eastAsia" w:hAnsi="宋体" w:cs="宋体"/>
          <w:szCs w:val="24"/>
          <w:highlight w:val="none"/>
        </w:rPr>
        <w:t>如发生争议，双方应通过友好协商或调解求得解决，协商或调解不成时，应将争议提交长沙市仲裁委员会，按该会仲裁规则申请仲裁。仲裁期间，双方应继续执行除争议部分之外的合同其他条款。</w:t>
      </w:r>
    </w:p>
    <w:p>
      <w:pPr>
        <w:widowControl/>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十五、其他</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highlight w:val="none"/>
        </w:rPr>
      </w:pPr>
      <w:r>
        <w:rPr>
          <w:rFonts w:hint="eastAsia" w:ascii="宋体" w:hAnsi="宋体" w:cs="宋体"/>
          <w:sz w:val="24"/>
          <w:szCs w:val="24"/>
          <w:highlight w:val="none"/>
        </w:rPr>
        <w:t>合同一式陆份，甲方肆份、乙方贰份。甲乙双方签字和盖章后本合同即生效。</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highlight w:val="none"/>
        </w:rPr>
      </w:pPr>
      <w:r>
        <w:rPr>
          <w:rFonts w:hint="eastAsia" w:ascii="宋体" w:hAnsi="宋体" w:cs="宋体"/>
          <w:sz w:val="24"/>
          <w:szCs w:val="24"/>
          <w:highlight w:val="none"/>
        </w:rPr>
        <w:t>谈判邀请文件、谈判文件、询标答复作为本合同的附件，与本合同具有同等法律效力。</w:t>
      </w:r>
    </w:p>
    <w:p>
      <w:pPr>
        <w:widowControl/>
        <w:numPr>
          <w:ilvl w:val="0"/>
          <w:numId w:val="10"/>
        </w:numPr>
        <w:tabs>
          <w:tab w:val="left" w:pos="0"/>
          <w:tab w:val="left" w:pos="840"/>
          <w:tab w:val="clear" w:pos="420"/>
        </w:tabs>
        <w:snapToGrid w:val="0"/>
        <w:spacing w:line="360" w:lineRule="auto"/>
        <w:ind w:left="0" w:right="-11" w:firstLine="540" w:firstLineChars="225"/>
        <w:rPr>
          <w:rFonts w:ascii="宋体" w:hAnsi="宋体" w:cs="宋体"/>
          <w:sz w:val="24"/>
          <w:szCs w:val="24"/>
          <w:highlight w:val="none"/>
        </w:rPr>
      </w:pPr>
      <w:r>
        <w:rPr>
          <w:rFonts w:hint="eastAsia" w:ascii="宋体" w:hAnsi="宋体" w:cs="宋体"/>
          <w:sz w:val="24"/>
          <w:szCs w:val="24"/>
          <w:highlight w:val="none"/>
        </w:rPr>
        <w:t>未尽事宜，甲乙双方协商解决。</w:t>
      </w:r>
    </w:p>
    <w:tbl>
      <w:tblPr>
        <w:tblStyle w:val="3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highlight w:val="none"/>
              </w:rPr>
            </w:pPr>
            <w:r>
              <w:rPr>
                <w:rFonts w:hint="eastAsia" w:ascii="宋体" w:hAnsi="宋体" w:cs="宋体"/>
                <w:b/>
                <w:bCs/>
                <w:sz w:val="24"/>
                <w:szCs w:val="24"/>
                <w:highlight w:val="none"/>
              </w:rPr>
              <w:t>甲方</w:t>
            </w:r>
          </w:p>
          <w:p>
            <w:pPr>
              <w:widowControl/>
              <w:tabs>
                <w:tab w:val="left" w:pos="4470"/>
                <w:tab w:val="left" w:pos="4620"/>
                <w:tab w:val="left" w:pos="5040"/>
                <w:tab w:val="left" w:pos="6045"/>
                <w:tab w:val="left" w:pos="6300"/>
                <w:tab w:val="left" w:pos="6720"/>
                <w:tab w:val="left" w:pos="7140"/>
                <w:tab w:val="left" w:pos="7575"/>
              </w:tabs>
              <w:spacing w:line="360" w:lineRule="auto"/>
              <w:ind w:left="1920" w:hanging="1920" w:hangingChars="800"/>
              <w:rPr>
                <w:rFonts w:ascii="宋体" w:hAnsi="宋体" w:cs="宋体"/>
                <w:sz w:val="24"/>
                <w:szCs w:val="24"/>
                <w:highlight w:val="none"/>
              </w:rPr>
            </w:pPr>
            <w:r>
              <w:rPr>
                <w:rFonts w:hint="eastAsia" w:ascii="宋体" w:hAnsi="宋体" w:cs="宋体"/>
                <w:sz w:val="24"/>
                <w:szCs w:val="24"/>
                <w:highlight w:val="none"/>
              </w:rPr>
              <w:t>单位名称（章）：</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委托代理人：</w:t>
            </w:r>
          </w:p>
          <w:p>
            <w:pPr>
              <w:spacing w:line="360" w:lineRule="auto"/>
              <w:ind w:left="960" w:hanging="960" w:hangingChars="400"/>
              <w:rPr>
                <w:rFonts w:ascii="宋体" w:hAnsi="宋体" w:cs="宋体"/>
                <w:sz w:val="24"/>
                <w:szCs w:val="24"/>
                <w:highlight w:val="none"/>
              </w:rPr>
            </w:pPr>
            <w:r>
              <w:rPr>
                <w:rFonts w:hint="eastAsia" w:ascii="宋体" w:hAnsi="宋体" w:cs="宋体"/>
                <w:sz w:val="24"/>
                <w:szCs w:val="24"/>
                <w:highlight w:val="none"/>
              </w:rPr>
              <w:t>开户银行：</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账    号：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电   话：</w:t>
            </w:r>
            <w:r>
              <w:rPr>
                <w:rFonts w:hint="eastAsia" w:ascii="宋体" w:hAnsi="宋体" w:cs="宋体"/>
                <w:color w:val="000000"/>
                <w:sz w:val="24"/>
                <w:szCs w:val="24"/>
                <w:highlight w:val="none"/>
              </w:rPr>
              <w:t xml:space="preserve">  </w:t>
            </w:r>
            <w:r>
              <w:rPr>
                <w:rFonts w:hint="eastAsia" w:ascii="宋体" w:hAnsi="宋体" w:cs="宋体"/>
                <w:sz w:val="24"/>
                <w:szCs w:val="24"/>
                <w:highlight w:val="none"/>
              </w:rPr>
              <w:t xml:space="preserve">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160" w:firstLineChars="900"/>
              <w:rPr>
                <w:rFonts w:ascii="宋体" w:hAnsi="宋体" w:cs="宋体"/>
                <w:sz w:val="24"/>
                <w:szCs w:val="24"/>
                <w:highlight w:val="none"/>
              </w:rPr>
            </w:pPr>
            <w:r>
              <w:rPr>
                <w:rFonts w:hint="eastAsia" w:ascii="宋体" w:hAnsi="宋体" w:cs="宋体"/>
                <w:sz w:val="24"/>
                <w:szCs w:val="24"/>
                <w:highlight w:val="none"/>
              </w:rPr>
              <w:t xml:space="preserve"> 年    月    日</w:t>
            </w:r>
          </w:p>
        </w:tc>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highlight w:val="none"/>
              </w:rPr>
            </w:pPr>
            <w:r>
              <w:rPr>
                <w:rFonts w:hint="eastAsia" w:ascii="宋体" w:hAnsi="宋体" w:cs="宋体"/>
                <w:b/>
                <w:bCs/>
                <w:sz w:val="24"/>
                <w:szCs w:val="24"/>
                <w:highlight w:val="none"/>
              </w:rPr>
              <w:t>乙方</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 xml:space="preserve">单位名称（章）：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委托代理人：</w:t>
            </w:r>
          </w:p>
          <w:p>
            <w:pPr>
              <w:widowControl/>
              <w:tabs>
                <w:tab w:val="left" w:pos="4470"/>
                <w:tab w:val="left" w:pos="4620"/>
                <w:tab w:val="left" w:pos="5040"/>
                <w:tab w:val="left" w:pos="6045"/>
                <w:tab w:val="left" w:pos="6300"/>
                <w:tab w:val="left" w:pos="6720"/>
                <w:tab w:val="left" w:pos="7140"/>
                <w:tab w:val="left" w:pos="7575"/>
              </w:tabs>
              <w:spacing w:line="360" w:lineRule="auto"/>
              <w:ind w:left="1200" w:hanging="1200" w:hangingChars="500"/>
              <w:rPr>
                <w:rFonts w:ascii="宋体" w:hAnsi="宋体" w:cs="宋体"/>
                <w:sz w:val="24"/>
                <w:szCs w:val="24"/>
                <w:highlight w:val="none"/>
              </w:rPr>
            </w:pPr>
            <w:r>
              <w:rPr>
                <w:rFonts w:hint="eastAsia" w:ascii="宋体" w:hAnsi="宋体" w:cs="宋体"/>
                <w:sz w:val="24"/>
                <w:szCs w:val="24"/>
                <w:highlight w:val="none"/>
              </w:rPr>
              <w:t>开户银行：</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账    号：</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电    话：</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highlight w:val="none"/>
              </w:rPr>
            </w:pPr>
            <w:r>
              <w:rPr>
                <w:rFonts w:hint="eastAsia" w:ascii="宋体" w:hAnsi="宋体" w:cs="宋体"/>
                <w:sz w:val="24"/>
                <w:szCs w:val="24"/>
                <w:highlight w:val="none"/>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040" w:firstLineChars="850"/>
              <w:rPr>
                <w:rFonts w:ascii="宋体" w:hAnsi="宋体" w:cs="宋体"/>
                <w:sz w:val="24"/>
                <w:szCs w:val="24"/>
                <w:highlight w:val="none"/>
              </w:rPr>
            </w:pPr>
            <w:r>
              <w:rPr>
                <w:rFonts w:hint="eastAsia" w:ascii="宋体" w:hAnsi="宋体" w:cs="宋体"/>
                <w:sz w:val="24"/>
                <w:szCs w:val="24"/>
                <w:highlight w:val="none"/>
              </w:rPr>
              <w:t>年     月    日</w:t>
            </w:r>
          </w:p>
        </w:tc>
      </w:tr>
    </w:tbl>
    <w:p>
      <w:pPr>
        <w:spacing w:line="360" w:lineRule="auto"/>
        <w:jc w:val="center"/>
        <w:rPr>
          <w:rFonts w:ascii="宋体" w:hAnsi="宋体" w:cs="宋体"/>
          <w:sz w:val="32"/>
          <w:szCs w:val="32"/>
          <w:highlight w:val="none"/>
        </w:rPr>
      </w:pPr>
      <w:bookmarkStart w:id="25" w:name="_Toc32527"/>
    </w:p>
    <w:p>
      <w:pPr>
        <w:spacing w:line="360" w:lineRule="auto"/>
        <w:jc w:val="center"/>
        <w:rPr>
          <w:rFonts w:ascii="宋体" w:hAnsi="宋体" w:cs="宋体"/>
          <w:sz w:val="32"/>
          <w:szCs w:val="32"/>
          <w:highlight w:val="none"/>
        </w:rPr>
      </w:pPr>
    </w:p>
    <w:p>
      <w:pPr>
        <w:spacing w:line="360" w:lineRule="auto"/>
        <w:jc w:val="center"/>
        <w:rPr>
          <w:b/>
          <w:sz w:val="32"/>
          <w:szCs w:val="32"/>
          <w:highlight w:val="none"/>
        </w:rPr>
      </w:pPr>
      <w:r>
        <w:rPr>
          <w:rFonts w:hint="eastAsia" w:ascii="宋体" w:hAnsi="宋体" w:cs="宋体"/>
          <w:b/>
          <w:sz w:val="32"/>
          <w:szCs w:val="32"/>
          <w:highlight w:val="none"/>
        </w:rPr>
        <w:t>第五章  谈判响应文件编制</w:t>
      </w:r>
      <w:bookmarkEnd w:id="25"/>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1、施工方应仔细阅读本文件的所有内容，按本文件的要求编制谈判文件，并保证所提供的全部资料真实有效。</w:t>
      </w:r>
    </w:p>
    <w:p>
      <w:pPr>
        <w:spacing w:line="560" w:lineRule="exact"/>
        <w:ind w:left="1" w:firstLine="2"/>
        <w:rPr>
          <w:rFonts w:ascii="宋体" w:hAnsi="宋体" w:cs="宋体"/>
          <w:sz w:val="24"/>
          <w:szCs w:val="24"/>
          <w:highlight w:val="none"/>
        </w:rPr>
      </w:pPr>
      <w:r>
        <w:rPr>
          <w:rFonts w:hint="eastAsia" w:ascii="宋体" w:hAnsi="宋体" w:cs="宋体"/>
          <w:sz w:val="24"/>
          <w:szCs w:val="24"/>
          <w:highlight w:val="none"/>
        </w:rPr>
        <w:t>2、谈判文件应装订应牢固、不易拆散和换页，不得采用活页装订，提倡双面打印。</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2.1谈判文件的书面内容不得有加行、涂抹或改写。</w:t>
      </w:r>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3、谈判文件的组成</w:t>
      </w:r>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3.1谈判文件由商务部分、资格证明文件等组成，应包括的内容详见本谈判文件的组成及格式。</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3.2在本文件格式样本或样本复印件上填写制作谈判文件的，其谈判无效（★）。</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3.3除谈判邀请文件另有规定外，计量单位为我国法定计量单位。</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4、谈判文件的签署及规定</w:t>
      </w:r>
    </w:p>
    <w:p>
      <w:pPr>
        <w:spacing w:line="560" w:lineRule="exact"/>
        <w:ind w:left="1" w:hanging="1"/>
        <w:rPr>
          <w:rFonts w:ascii="宋体" w:hAnsi="宋体" w:cs="宋体"/>
          <w:sz w:val="24"/>
          <w:szCs w:val="24"/>
          <w:highlight w:val="none"/>
        </w:rPr>
      </w:pPr>
      <w:r>
        <w:rPr>
          <w:rFonts w:hint="eastAsia" w:ascii="宋体" w:hAnsi="宋体" w:cs="宋体"/>
          <w:sz w:val="24"/>
          <w:szCs w:val="24"/>
          <w:highlight w:val="none"/>
        </w:rPr>
        <w:t>4.1谈判文件正本壹份、副本肆份。每一份谈判文件注明“正本”或“副本”字样，并注明所谈判段。正本与副本有差异，以正本为准。</w:t>
      </w:r>
    </w:p>
    <w:p>
      <w:pPr>
        <w:spacing w:line="560" w:lineRule="exact"/>
        <w:ind w:left="714" w:leftChars="1" w:hanging="712" w:hangingChars="297"/>
        <w:rPr>
          <w:rFonts w:ascii="宋体" w:hAnsi="宋体" w:cs="宋体"/>
          <w:sz w:val="24"/>
          <w:szCs w:val="24"/>
          <w:highlight w:val="none"/>
        </w:rPr>
      </w:pPr>
      <w:r>
        <w:rPr>
          <w:rFonts w:hint="eastAsia" w:ascii="宋体" w:hAnsi="宋体" w:cs="宋体"/>
          <w:sz w:val="24"/>
          <w:szCs w:val="24"/>
          <w:highlight w:val="none"/>
        </w:rPr>
        <w:t>4.2谈判文件正本应用不褪色的材料书写或打印，副本可复印。</w:t>
      </w:r>
    </w:p>
    <w:p>
      <w:pPr>
        <w:pStyle w:val="2"/>
        <w:spacing w:afterLines="0"/>
        <w:ind w:left="0" w:firstLine="0" w:firstLineChars="0"/>
        <w:rPr>
          <w:sz w:val="24"/>
          <w:szCs w:val="24"/>
          <w:highlight w:val="none"/>
        </w:rPr>
      </w:pPr>
      <w:r>
        <w:rPr>
          <w:rFonts w:hint="eastAsia"/>
          <w:kern w:val="2"/>
          <w:sz w:val="24"/>
          <w:szCs w:val="24"/>
          <w:highlight w:val="none"/>
          <w:lang w:val="en-US"/>
        </w:rPr>
        <w:t>4.3</w:t>
      </w:r>
      <w:r>
        <w:rPr>
          <w:rFonts w:hint="eastAsia"/>
          <w:sz w:val="24"/>
          <w:szCs w:val="24"/>
          <w:highlight w:val="none"/>
        </w:rPr>
        <w:t>谈判文件封面由供应商的法定代表人（或授权委托代理人）签字（或盖章）</w:t>
      </w:r>
      <w:r>
        <w:rPr>
          <w:rFonts w:hint="eastAsia"/>
          <w:b/>
          <w:bCs/>
          <w:sz w:val="24"/>
          <w:szCs w:val="24"/>
          <w:highlight w:val="none"/>
        </w:rPr>
        <w:t>并加盖单位公章</w:t>
      </w:r>
      <w:r>
        <w:rPr>
          <w:rFonts w:hint="eastAsia"/>
          <w:sz w:val="24"/>
          <w:szCs w:val="24"/>
          <w:highlight w:val="none"/>
        </w:rPr>
        <w:t>（★）。</w:t>
      </w:r>
    </w:p>
    <w:p>
      <w:pPr>
        <w:pStyle w:val="2"/>
        <w:spacing w:afterLines="0"/>
        <w:ind w:left="0" w:firstLine="0" w:firstLineChars="0"/>
        <w:rPr>
          <w:kern w:val="2"/>
          <w:sz w:val="24"/>
          <w:szCs w:val="24"/>
          <w:highlight w:val="none"/>
          <w:lang w:val="en-US"/>
        </w:rPr>
      </w:pPr>
      <w:r>
        <w:rPr>
          <w:rFonts w:hint="eastAsia"/>
          <w:sz w:val="24"/>
          <w:szCs w:val="24"/>
          <w:highlight w:val="none"/>
        </w:rPr>
        <w:t>4.4上述签字盖章要求谈判文件正本须本人亲笔签字，盖章必须为原章，副本可用正本复印（★）。</w:t>
      </w:r>
    </w:p>
    <w:p>
      <w:pPr>
        <w:pStyle w:val="4"/>
        <w:spacing w:line="560" w:lineRule="exact"/>
        <w:jc w:val="center"/>
        <w:rPr>
          <w:rFonts w:ascii="宋体" w:hAnsi="宋体" w:cs="宋体"/>
          <w:sz w:val="32"/>
          <w:szCs w:val="32"/>
          <w:highlight w:val="none"/>
        </w:rPr>
      </w:pPr>
      <w:bookmarkStart w:id="26" w:name="_Toc10238"/>
      <w:r>
        <w:rPr>
          <w:rFonts w:hint="eastAsia" w:ascii="宋体" w:hAnsi="宋体" w:cs="宋体"/>
          <w:sz w:val="32"/>
          <w:szCs w:val="32"/>
          <w:highlight w:val="none"/>
        </w:rPr>
        <w:t>第六章 谈判响应文件组成</w:t>
      </w:r>
      <w:bookmarkEnd w:id="26"/>
    </w:p>
    <w:p>
      <w:pPr>
        <w:spacing w:line="360" w:lineRule="auto"/>
        <w:rPr>
          <w:rFonts w:ascii="宋体" w:hAnsi="宋体" w:cs="宋体"/>
          <w:b/>
          <w:sz w:val="24"/>
          <w:szCs w:val="24"/>
          <w:highlight w:val="none"/>
        </w:rPr>
      </w:pPr>
      <w:r>
        <w:rPr>
          <w:rFonts w:hint="eastAsia" w:ascii="宋体" w:hAnsi="宋体" w:cs="宋体"/>
          <w:b/>
          <w:sz w:val="24"/>
          <w:szCs w:val="24"/>
          <w:highlight w:val="none"/>
        </w:rPr>
        <w:t>一、谈判响应声明</w:t>
      </w:r>
    </w:p>
    <w:p>
      <w:pPr>
        <w:spacing w:line="360" w:lineRule="auto"/>
        <w:rPr>
          <w:rFonts w:ascii="宋体" w:hAnsi="宋体" w:cs="宋体"/>
          <w:sz w:val="24"/>
          <w:szCs w:val="24"/>
          <w:highlight w:val="none"/>
        </w:rPr>
      </w:pPr>
      <w:r>
        <w:rPr>
          <w:rFonts w:hint="eastAsia" w:ascii="宋体" w:hAnsi="宋体" w:cs="宋体"/>
          <w:sz w:val="24"/>
          <w:szCs w:val="24"/>
          <w:highlight w:val="none"/>
        </w:rPr>
        <w:t>附件1：法定代表人身份证明</w:t>
      </w:r>
    </w:p>
    <w:p>
      <w:pPr>
        <w:spacing w:line="360" w:lineRule="auto"/>
        <w:rPr>
          <w:rFonts w:ascii="宋体" w:hAnsi="宋体" w:cs="宋体"/>
          <w:sz w:val="24"/>
          <w:szCs w:val="24"/>
          <w:highlight w:val="none"/>
        </w:rPr>
      </w:pPr>
      <w:r>
        <w:rPr>
          <w:rFonts w:hint="eastAsia" w:ascii="宋体" w:hAnsi="宋体" w:cs="宋体"/>
          <w:sz w:val="24"/>
          <w:szCs w:val="24"/>
          <w:highlight w:val="none"/>
        </w:rPr>
        <w:t>附件2：法定代表人授权委托书</w:t>
      </w:r>
    </w:p>
    <w:p>
      <w:pPr>
        <w:spacing w:line="360" w:lineRule="auto"/>
        <w:rPr>
          <w:rFonts w:ascii="宋体" w:hAnsi="宋体" w:cs="宋体"/>
          <w:b/>
          <w:sz w:val="24"/>
          <w:szCs w:val="24"/>
          <w:highlight w:val="none"/>
        </w:rPr>
      </w:pPr>
      <w:r>
        <w:rPr>
          <w:rFonts w:hint="eastAsia" w:ascii="宋体" w:hAnsi="宋体" w:cs="宋体"/>
          <w:b/>
          <w:sz w:val="24"/>
          <w:szCs w:val="24"/>
          <w:highlight w:val="none"/>
        </w:rPr>
        <w:t xml:space="preserve">二、保证金  </w:t>
      </w:r>
    </w:p>
    <w:p>
      <w:pPr>
        <w:spacing w:line="360" w:lineRule="auto"/>
        <w:rPr>
          <w:rFonts w:ascii="宋体" w:hAnsi="宋体" w:cs="宋体"/>
          <w:b/>
          <w:sz w:val="24"/>
          <w:szCs w:val="24"/>
          <w:highlight w:val="none"/>
        </w:rPr>
      </w:pPr>
      <w:r>
        <w:rPr>
          <w:rFonts w:hint="eastAsia" w:ascii="宋体" w:hAnsi="宋体" w:cs="宋体"/>
          <w:b/>
          <w:sz w:val="24"/>
          <w:szCs w:val="24"/>
          <w:highlight w:val="none"/>
        </w:rPr>
        <w:t>三、谈判方的资格证明资料</w:t>
      </w:r>
    </w:p>
    <w:p>
      <w:pPr>
        <w:spacing w:line="360" w:lineRule="auto"/>
        <w:rPr>
          <w:rFonts w:ascii="宋体" w:hAnsi="宋体" w:cs="宋体"/>
          <w:sz w:val="24"/>
          <w:szCs w:val="24"/>
          <w:highlight w:val="none"/>
        </w:rPr>
      </w:pPr>
      <w:r>
        <w:rPr>
          <w:rFonts w:hint="eastAsia" w:ascii="宋体" w:hAnsi="宋体" w:cs="宋体"/>
          <w:sz w:val="24"/>
          <w:szCs w:val="24"/>
          <w:highlight w:val="none"/>
        </w:rPr>
        <w:t>附件3：谈判方基本情况表</w:t>
      </w:r>
    </w:p>
    <w:p>
      <w:pPr>
        <w:spacing w:line="360" w:lineRule="auto"/>
        <w:rPr>
          <w:rFonts w:ascii="宋体" w:hAnsi="宋体" w:cs="宋体"/>
          <w:sz w:val="24"/>
          <w:szCs w:val="24"/>
          <w:highlight w:val="none"/>
        </w:rPr>
      </w:pPr>
      <w:r>
        <w:rPr>
          <w:rFonts w:hint="eastAsia" w:ascii="宋体" w:hAnsi="宋体" w:cs="宋体"/>
          <w:sz w:val="24"/>
          <w:szCs w:val="24"/>
          <w:highlight w:val="none"/>
        </w:rPr>
        <w:t>附件4：谈判邀请文件规定的基本资格条件证明资料</w:t>
      </w:r>
    </w:p>
    <w:p>
      <w:pPr>
        <w:spacing w:line="360" w:lineRule="auto"/>
        <w:rPr>
          <w:rFonts w:ascii="宋体" w:hAnsi="宋体" w:cs="宋体"/>
          <w:sz w:val="24"/>
          <w:szCs w:val="24"/>
          <w:highlight w:val="none"/>
        </w:rPr>
      </w:pPr>
      <w:r>
        <w:rPr>
          <w:rFonts w:hint="eastAsia" w:ascii="宋体" w:hAnsi="宋体" w:cs="宋体"/>
          <w:sz w:val="24"/>
          <w:szCs w:val="24"/>
          <w:highlight w:val="none"/>
        </w:rPr>
        <w:t>附件5：谈判邀请文件规定的特定资格条件证明资料</w:t>
      </w:r>
    </w:p>
    <w:p>
      <w:pPr>
        <w:spacing w:line="360" w:lineRule="auto"/>
        <w:rPr>
          <w:rFonts w:ascii="宋体" w:hAnsi="宋体" w:cs="宋体"/>
          <w:b/>
          <w:sz w:val="24"/>
          <w:szCs w:val="24"/>
          <w:highlight w:val="none"/>
        </w:rPr>
      </w:pPr>
      <w:r>
        <w:rPr>
          <w:rFonts w:hint="eastAsia" w:ascii="宋体" w:hAnsi="宋体" w:cs="宋体"/>
          <w:b/>
          <w:sz w:val="24"/>
          <w:szCs w:val="24"/>
          <w:highlight w:val="none"/>
        </w:rPr>
        <w:t>四、施工方案及售后方案</w:t>
      </w:r>
    </w:p>
    <w:p>
      <w:pPr>
        <w:spacing w:line="360" w:lineRule="auto"/>
        <w:rPr>
          <w:rFonts w:ascii="宋体" w:hAnsi="宋体" w:cs="宋体"/>
          <w:sz w:val="24"/>
          <w:szCs w:val="24"/>
          <w:highlight w:val="none"/>
        </w:rPr>
      </w:pPr>
      <w:r>
        <w:rPr>
          <w:rFonts w:hint="eastAsia" w:ascii="宋体" w:hAnsi="宋体" w:cs="宋体"/>
          <w:sz w:val="24"/>
          <w:szCs w:val="24"/>
          <w:highlight w:val="none"/>
        </w:rPr>
        <w:t>附件6：施工方案及售后方案说明</w:t>
      </w:r>
    </w:p>
    <w:p>
      <w:pPr>
        <w:spacing w:line="360" w:lineRule="auto"/>
        <w:rPr>
          <w:rFonts w:ascii="宋体" w:hAnsi="宋体" w:cs="宋体"/>
          <w:b/>
          <w:sz w:val="24"/>
          <w:szCs w:val="24"/>
          <w:highlight w:val="none"/>
        </w:rPr>
      </w:pPr>
      <w:r>
        <w:rPr>
          <w:rFonts w:hint="eastAsia" w:ascii="宋体" w:hAnsi="宋体" w:cs="宋体"/>
          <w:b/>
          <w:sz w:val="24"/>
          <w:szCs w:val="24"/>
          <w:highlight w:val="none"/>
        </w:rPr>
        <w:t>五、技术/商务响应与偏离表</w:t>
      </w:r>
    </w:p>
    <w:p>
      <w:pPr>
        <w:spacing w:line="360" w:lineRule="auto"/>
        <w:rPr>
          <w:rFonts w:ascii="宋体" w:hAnsi="宋体" w:cs="宋体"/>
          <w:b/>
          <w:sz w:val="24"/>
          <w:szCs w:val="24"/>
          <w:highlight w:val="none"/>
        </w:rPr>
      </w:pPr>
      <w:r>
        <w:rPr>
          <w:rFonts w:hint="eastAsia" w:ascii="宋体" w:hAnsi="宋体" w:cs="宋体"/>
          <w:b/>
          <w:sz w:val="24"/>
          <w:szCs w:val="24"/>
          <w:highlight w:val="none"/>
        </w:rPr>
        <w:t>六、货物说明一览表</w:t>
      </w:r>
    </w:p>
    <w:p>
      <w:pPr>
        <w:spacing w:line="360" w:lineRule="auto"/>
        <w:rPr>
          <w:rFonts w:ascii="宋体" w:hAnsi="宋体" w:cs="宋体"/>
          <w:b/>
          <w:sz w:val="24"/>
          <w:szCs w:val="24"/>
          <w:highlight w:val="none"/>
        </w:rPr>
      </w:pPr>
      <w:r>
        <w:rPr>
          <w:rFonts w:hint="eastAsia" w:ascii="宋体" w:hAnsi="宋体" w:cs="宋体"/>
          <w:b/>
          <w:sz w:val="24"/>
          <w:szCs w:val="24"/>
          <w:highlight w:val="none"/>
        </w:rPr>
        <w:t>七、报价一览表及分项价格表</w:t>
      </w:r>
    </w:p>
    <w:p>
      <w:pPr>
        <w:spacing w:line="360" w:lineRule="auto"/>
        <w:rPr>
          <w:rFonts w:ascii="宋体" w:hAnsi="宋体" w:cs="宋体"/>
          <w:sz w:val="24"/>
          <w:szCs w:val="24"/>
          <w:highlight w:val="none"/>
        </w:rPr>
      </w:pPr>
      <w:r>
        <w:rPr>
          <w:rFonts w:hint="eastAsia" w:ascii="宋体" w:hAnsi="宋体" w:cs="宋体"/>
          <w:sz w:val="24"/>
          <w:szCs w:val="24"/>
          <w:highlight w:val="none"/>
        </w:rPr>
        <w:t>附件7：报价一览表</w:t>
      </w:r>
    </w:p>
    <w:p>
      <w:pPr>
        <w:spacing w:line="360" w:lineRule="auto"/>
        <w:rPr>
          <w:rFonts w:ascii="宋体" w:hAnsi="宋体" w:cs="宋体"/>
          <w:b/>
          <w:sz w:val="24"/>
          <w:szCs w:val="24"/>
          <w:highlight w:val="none"/>
        </w:rPr>
      </w:pPr>
      <w:r>
        <w:rPr>
          <w:rFonts w:hint="eastAsia" w:ascii="宋体" w:hAnsi="宋体" w:cs="宋体"/>
          <w:b/>
          <w:sz w:val="24"/>
          <w:szCs w:val="24"/>
          <w:highlight w:val="none"/>
        </w:rPr>
        <w:t>八、供应商认为需提供的其他资料</w:t>
      </w:r>
    </w:p>
    <w:p>
      <w:pPr>
        <w:jc w:val="left"/>
        <w:rPr>
          <w:rFonts w:ascii="宋体" w:hAnsi="宋体" w:cs="宋体"/>
          <w:b/>
          <w:sz w:val="30"/>
          <w:szCs w:val="30"/>
          <w:highlight w:val="none"/>
        </w:rPr>
      </w:pPr>
      <w:r>
        <w:rPr>
          <w:rFonts w:hint="eastAsia" w:ascii="宋体" w:hAnsi="宋体" w:cs="宋体"/>
          <w:b/>
          <w:sz w:val="30"/>
          <w:szCs w:val="30"/>
          <w:highlight w:val="none"/>
        </w:rPr>
        <w:t>（一）、谈判响应声明</w:t>
      </w: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(谈判邀请人)：</w:t>
      </w:r>
    </w:p>
    <w:p>
      <w:pPr>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我方已仔细研究了</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项目名称)的全部内容，知悉参加谈判的风险，我方承诺接受谈判邀请文件的全部条款且无任何异议。</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一、我方同意在谈判邀请文件中规定的提交谈判文件截止时间起</w:t>
      </w:r>
      <w:r>
        <w:rPr>
          <w:rFonts w:hint="eastAsia" w:hAnsi="宋体"/>
          <w:sz w:val="24"/>
          <w:szCs w:val="24"/>
          <w:highlight w:val="none"/>
          <w:u w:val="single"/>
        </w:rPr>
        <w:t xml:space="preserve">   90 </w:t>
      </w:r>
      <w:r>
        <w:rPr>
          <w:rFonts w:hint="eastAsia" w:hAnsi="宋体"/>
          <w:sz w:val="24"/>
          <w:szCs w:val="24"/>
          <w:highlight w:val="none"/>
        </w:rPr>
        <w:t>日内(响应文件有效期)遵守本响应文件中的承诺且在此期限期满之前均具有法律约束力。</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二、我方提交谈判文件正本一份和副本一式</w:t>
      </w:r>
      <w:r>
        <w:rPr>
          <w:rFonts w:hint="eastAsia" w:hAnsi="宋体"/>
          <w:sz w:val="24"/>
          <w:szCs w:val="24"/>
          <w:highlight w:val="none"/>
          <w:u w:val="single"/>
        </w:rPr>
        <w:t>四</w:t>
      </w:r>
      <w:r>
        <w:rPr>
          <w:rFonts w:hint="eastAsia" w:hAnsi="宋体"/>
          <w:sz w:val="24"/>
          <w:szCs w:val="24"/>
          <w:highlight w:val="none"/>
        </w:rPr>
        <w:t>份，并保证谈判文件提供的数据和资料全部内容真实、合法、准确和完整，我们对此负责，并愿承担由此引起的法律责任。</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三、我方愿意向贵方提供任何与本项采购有关的数据、情况和技术资料。若贵方需要，我方愿意提供我方作出的一切承诺的证明资料。</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四、我方承诺遵守相关法律的有关规定，保证在获得中标资格后，按照谈判邀请文件确定的事项签订施工合同，履行双方所签订的合同，并承担合同规定的责任和义务。</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 xml:space="preserve">五、我方在此声明： </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（一）我方与谈判邀请方或谈判邀请代理机构不存在隶属关系或者其他利害关系。</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（二）我方与参加本项目的其他谈判方不存在直接控股、管理关系，或者与其他供应商法定代表人（或者负责人）为同一人。</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（三）我方未为本项目前期准备提供设计或咨询服务。</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（四）我方承诺（承诺期：成立三年以上的，为提交首次响应文件截止时间前三年内；成立不足三年的，为实际时间）：</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1、我方依法缴纳了各项税费及各项社会保障资金，没有偷税、漏税及欠缴行为。</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2、我方在经营活动中没有存在下列重大违法记录：</w:t>
      </w:r>
    </w:p>
    <w:p>
      <w:pPr>
        <w:pStyle w:val="20"/>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(1)受到刑事处罚；</w:t>
      </w:r>
    </w:p>
    <w:p>
      <w:pPr>
        <w:pStyle w:val="20"/>
        <w:adjustRightInd w:val="0"/>
        <w:snapToGrid w:val="0"/>
        <w:spacing w:line="360" w:lineRule="auto"/>
        <w:ind w:firstLine="480" w:firstLineChars="200"/>
        <w:rPr>
          <w:rFonts w:hAnsi="宋体"/>
          <w:bCs/>
          <w:sz w:val="24"/>
          <w:szCs w:val="24"/>
          <w:highlight w:val="none"/>
        </w:rPr>
      </w:pPr>
      <w:r>
        <w:rPr>
          <w:rFonts w:hint="eastAsia" w:hAnsi="宋体"/>
          <w:sz w:val="24"/>
          <w:szCs w:val="24"/>
          <w:highlight w:val="none"/>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highlight w:val="none"/>
        </w:rPr>
      </w:pPr>
    </w:p>
    <w:p>
      <w:pPr>
        <w:adjustRightInd w:val="0"/>
        <w:snapToGrid w:val="0"/>
        <w:spacing w:line="360" w:lineRule="auto"/>
        <w:ind w:right="24"/>
        <w:rPr>
          <w:rFonts w:ascii="宋体" w:hAnsi="宋体" w:cs="宋体"/>
          <w:sz w:val="24"/>
          <w:szCs w:val="24"/>
          <w:highlight w:val="none"/>
        </w:rPr>
      </w:pPr>
      <w:r>
        <w:rPr>
          <w:rFonts w:hint="eastAsia" w:ascii="宋体" w:hAnsi="宋体" w:cs="宋体"/>
          <w:bCs/>
          <w:sz w:val="24"/>
          <w:szCs w:val="24"/>
          <w:highlight w:val="none"/>
        </w:rPr>
        <w:t>附件1：</w:t>
      </w:r>
      <w:r>
        <w:rPr>
          <w:rFonts w:hint="eastAsia" w:ascii="宋体" w:hAnsi="宋体" w:cs="宋体"/>
          <w:sz w:val="24"/>
          <w:szCs w:val="24"/>
          <w:highlight w:val="none"/>
        </w:rPr>
        <w:t>法定代表人身份证明</w:t>
      </w:r>
    </w:p>
    <w:p>
      <w:pPr>
        <w:adjustRightInd w:val="0"/>
        <w:snapToGrid w:val="0"/>
        <w:spacing w:line="360" w:lineRule="auto"/>
        <w:ind w:right="24"/>
        <w:rPr>
          <w:rFonts w:ascii="宋体" w:hAnsi="宋体" w:cs="宋体"/>
          <w:sz w:val="24"/>
          <w:szCs w:val="24"/>
          <w:highlight w:val="none"/>
        </w:rPr>
      </w:pPr>
      <w:r>
        <w:rPr>
          <w:rFonts w:hint="eastAsia" w:ascii="宋体" w:hAnsi="宋体" w:cs="宋体"/>
          <w:bCs/>
          <w:sz w:val="24"/>
          <w:szCs w:val="24"/>
          <w:highlight w:val="none"/>
        </w:rPr>
        <w:t>附件2</w:t>
      </w:r>
      <w:r>
        <w:rPr>
          <w:rFonts w:hint="eastAsia" w:ascii="宋体" w:hAnsi="宋体" w:cs="宋体"/>
          <w:sz w:val="24"/>
          <w:szCs w:val="24"/>
          <w:highlight w:val="none"/>
        </w:rPr>
        <w:t>：法定代表人授权书</w:t>
      </w:r>
    </w:p>
    <w:p>
      <w:pPr>
        <w:pStyle w:val="20"/>
        <w:adjustRightInd w:val="0"/>
        <w:snapToGrid w:val="0"/>
        <w:spacing w:line="360" w:lineRule="auto"/>
        <w:rPr>
          <w:rFonts w:hAnsi="宋体"/>
          <w:sz w:val="24"/>
          <w:szCs w:val="24"/>
          <w:highlight w:val="none"/>
        </w:rPr>
      </w:pPr>
      <w:r>
        <w:rPr>
          <w:rFonts w:hint="eastAsia" w:hAnsi="宋体"/>
          <w:sz w:val="24"/>
          <w:szCs w:val="24"/>
          <w:highlight w:val="none"/>
        </w:rPr>
        <w:t>谈判方名称(盖单位章)：</w:t>
      </w: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法定代表人或其委托代理人 (签字)：</w:t>
      </w:r>
      <w:r>
        <w:rPr>
          <w:rFonts w:hint="eastAsia" w:ascii="宋体" w:hAnsi="宋体" w:cs="宋体"/>
          <w:sz w:val="24"/>
          <w:szCs w:val="24"/>
          <w:highlight w:val="none"/>
          <w:u w:val="single"/>
        </w:rPr>
        <w:t xml:space="preserve">            </w:t>
      </w: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bookmarkStart w:id="27" w:name="OLE_LINK3"/>
    </w:p>
    <w:bookmarkEnd w:id="27"/>
    <w:p>
      <w:pPr>
        <w:rPr>
          <w:rFonts w:ascii="宋体" w:hAnsi="宋体" w:cs="宋体"/>
          <w:highlight w:val="none"/>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rPr>
          <w:rFonts w:ascii="宋体" w:hAnsi="宋体" w:cs="宋体"/>
          <w:sz w:val="30"/>
          <w:szCs w:val="30"/>
          <w:highlight w:val="none"/>
        </w:rPr>
      </w:pPr>
      <w:r>
        <w:rPr>
          <w:rFonts w:hint="eastAsia" w:ascii="宋体" w:hAnsi="宋体" w:cs="宋体"/>
          <w:sz w:val="30"/>
          <w:szCs w:val="30"/>
          <w:highlight w:val="none"/>
        </w:rPr>
        <w:t>附件1</w:t>
      </w:r>
    </w:p>
    <w:p>
      <w:pPr>
        <w:jc w:val="center"/>
        <w:rPr>
          <w:rFonts w:ascii="宋体" w:hAnsi="宋体" w:cs="宋体"/>
          <w:sz w:val="30"/>
          <w:szCs w:val="30"/>
          <w:highlight w:val="none"/>
        </w:rPr>
      </w:pPr>
      <w:r>
        <w:rPr>
          <w:rFonts w:hint="eastAsia" w:ascii="宋体" w:hAnsi="宋体" w:cs="宋体"/>
          <w:sz w:val="30"/>
          <w:szCs w:val="30"/>
          <w:highlight w:val="none"/>
        </w:rPr>
        <w:t>法定代表人身份证明</w:t>
      </w:r>
    </w:p>
    <w:p>
      <w:pPr>
        <w:snapToGrid w:val="0"/>
        <w:spacing w:line="480" w:lineRule="auto"/>
        <w:rPr>
          <w:rFonts w:ascii="宋体" w:hAnsi="宋体" w:cs="宋体"/>
          <w:sz w:val="24"/>
          <w:szCs w:val="24"/>
          <w:highlight w:val="none"/>
        </w:rPr>
      </w:pP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谈判方名称：</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注册号：</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注册地址：</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 xml:space="preserve">成立时间： </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年 </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月</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日</w:t>
      </w:r>
    </w:p>
    <w:p>
      <w:pPr>
        <w:autoSpaceDE w:val="0"/>
        <w:autoSpaceDN w:val="0"/>
        <w:adjustRightInd w:val="0"/>
        <w:snapToGrid w:val="0"/>
        <w:spacing w:line="360" w:lineRule="auto"/>
        <w:jc w:val="left"/>
        <w:rPr>
          <w:rFonts w:ascii="宋体" w:hAnsi="宋体" w:cs="宋体"/>
          <w:kern w:val="0"/>
          <w:sz w:val="24"/>
          <w:szCs w:val="24"/>
          <w:highlight w:val="none"/>
          <w:u w:val="single"/>
        </w:rPr>
      </w:pPr>
      <w:r>
        <w:rPr>
          <w:rFonts w:hint="eastAsia" w:ascii="宋体" w:hAnsi="宋体" w:cs="宋体"/>
          <w:kern w:val="0"/>
          <w:sz w:val="24"/>
          <w:szCs w:val="24"/>
          <w:highlight w:val="none"/>
        </w:rPr>
        <w:t>经营期限：</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u w:val="single"/>
        </w:rPr>
      </w:pPr>
      <w:r>
        <w:rPr>
          <w:rFonts w:hint="eastAsia" w:ascii="宋体" w:hAnsi="宋体" w:cs="宋体"/>
          <w:kern w:val="0"/>
          <w:sz w:val="24"/>
          <w:szCs w:val="24"/>
          <w:highlight w:val="none"/>
        </w:rPr>
        <w:t>经营范围：主营：</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；兼营：</w:t>
      </w:r>
      <w:r>
        <w:rPr>
          <w:rFonts w:hint="eastAsia" w:ascii="宋体" w:hAnsi="宋体" w:cs="宋体"/>
          <w:kern w:val="0"/>
          <w:sz w:val="24"/>
          <w:szCs w:val="24"/>
          <w:highlight w:val="none"/>
          <w:u w:val="single"/>
        </w:rPr>
        <w:t xml:space="preserve">              </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姓名：</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性别：</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年龄：</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系</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（谈判方名称）的法定代表人。</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特此证明。</w:t>
      </w:r>
    </w:p>
    <w:p>
      <w:pPr>
        <w:autoSpaceDE w:val="0"/>
        <w:autoSpaceDN w:val="0"/>
        <w:adjustRightInd w:val="0"/>
        <w:snapToGrid w:val="0"/>
        <w:spacing w:line="360" w:lineRule="auto"/>
        <w:jc w:val="left"/>
        <w:rPr>
          <w:rFonts w:ascii="宋体" w:hAnsi="宋体" w:cs="宋体"/>
          <w:kern w:val="0"/>
          <w:sz w:val="24"/>
          <w:szCs w:val="24"/>
          <w:highlight w:val="none"/>
        </w:rPr>
      </w:pPr>
      <w:r>
        <w:rPr>
          <w:rFonts w:hint="eastAsia" w:ascii="宋体" w:hAnsi="宋体" w:cs="宋体"/>
          <w:sz w:val="24"/>
          <w:szCs w:val="24"/>
          <w:highlight w:val="none"/>
        </w:rPr>
        <w:t>附：法定代表人身份证复印件</w:t>
      </w:r>
    </w:p>
    <w:p>
      <w:pPr>
        <w:snapToGrid w:val="0"/>
        <w:spacing w:line="480" w:lineRule="auto"/>
        <w:rPr>
          <w:rFonts w:ascii="宋体" w:hAnsi="宋体" w:cs="宋体"/>
          <w:sz w:val="24"/>
          <w:szCs w:val="24"/>
          <w:highlight w:val="none"/>
        </w:rPr>
      </w:pPr>
    </w:p>
    <w:p>
      <w:pPr>
        <w:snapToGrid w:val="0"/>
        <w:rPr>
          <w:rFonts w:ascii="宋体" w:hAnsi="宋体" w:cs="宋体"/>
          <w:sz w:val="24"/>
          <w:szCs w:val="24"/>
          <w:highlight w:val="none"/>
        </w:rPr>
      </w:pPr>
    </w:p>
    <w:p>
      <w:pPr>
        <w:snapToGrid w:val="0"/>
        <w:rPr>
          <w:rFonts w:ascii="宋体" w:hAnsi="宋体" w:cs="宋体"/>
          <w:sz w:val="24"/>
          <w:szCs w:val="24"/>
          <w:highlight w:val="none"/>
        </w:rPr>
      </w:pPr>
    </w:p>
    <w:p>
      <w:pPr>
        <w:adjustRightInd w:val="0"/>
        <w:snapToGrid w:val="0"/>
        <w:spacing w:line="360" w:lineRule="auto"/>
        <w:rPr>
          <w:rFonts w:ascii="宋体" w:hAnsi="宋体" w:cs="宋体"/>
          <w:sz w:val="24"/>
          <w:szCs w:val="24"/>
          <w:highlight w:val="none"/>
        </w:rPr>
      </w:pPr>
    </w:p>
    <w:p>
      <w:pPr>
        <w:adjustRightInd w:val="0"/>
        <w:snapToGrid w:val="0"/>
        <w:spacing w:line="360" w:lineRule="auto"/>
        <w:ind w:right="420"/>
        <w:jc w:val="right"/>
        <w:rPr>
          <w:rFonts w:ascii="宋体" w:hAnsi="宋体" w:cs="宋体"/>
          <w:sz w:val="24"/>
          <w:szCs w:val="24"/>
          <w:highlight w:val="none"/>
        </w:rPr>
      </w:pPr>
      <w:r>
        <w:rPr>
          <w:rFonts w:hint="eastAsia" w:ascii="宋体" w:hAnsi="宋体" w:cs="宋体"/>
          <w:sz w:val="24"/>
          <w:szCs w:val="24"/>
          <w:highlight w:val="none"/>
        </w:rPr>
        <w:t>谈判方名称（盖单位章）：</w:t>
      </w:r>
    </w:p>
    <w:p>
      <w:pPr>
        <w:adjustRightInd w:val="0"/>
        <w:snapToGrid w:val="0"/>
        <w:spacing w:line="360" w:lineRule="auto"/>
        <w:ind w:right="420"/>
        <w:jc w:val="right"/>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日      </w:t>
      </w:r>
    </w:p>
    <w:p>
      <w:pPr>
        <w:jc w:val="left"/>
        <w:rPr>
          <w:rFonts w:ascii="宋体" w:hAnsi="宋体" w:cs="宋体"/>
          <w:bCs/>
          <w:sz w:val="30"/>
          <w:szCs w:val="30"/>
          <w:highlight w:val="none"/>
        </w:rPr>
      </w:pPr>
      <w:r>
        <w:rPr>
          <w:rFonts w:hint="eastAsia" w:ascii="宋体" w:hAnsi="宋体" w:cs="宋体"/>
          <w:b/>
          <w:bCs/>
          <w:sz w:val="24"/>
          <w:szCs w:val="24"/>
          <w:highlight w:val="none"/>
        </w:rPr>
        <w:t>注：法定代表人身份证明应单独准备一份，在开标时进行身份验证时提交。</w:t>
      </w:r>
    </w:p>
    <w:p>
      <w:pPr>
        <w:jc w:val="left"/>
        <w:rPr>
          <w:rFonts w:ascii="宋体" w:hAnsi="宋体" w:cs="宋体"/>
          <w:bCs/>
          <w:sz w:val="30"/>
          <w:szCs w:val="30"/>
          <w:highlight w:val="none"/>
        </w:rPr>
      </w:pPr>
    </w:p>
    <w:p>
      <w:pPr>
        <w:jc w:val="left"/>
        <w:rPr>
          <w:rFonts w:ascii="宋体" w:hAnsi="宋体" w:cs="宋体"/>
          <w:bCs/>
          <w:sz w:val="30"/>
          <w:szCs w:val="30"/>
          <w:highlight w:val="none"/>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jc w:val="left"/>
        <w:rPr>
          <w:rFonts w:ascii="宋体" w:hAnsi="宋体" w:cs="宋体"/>
          <w:sz w:val="30"/>
          <w:szCs w:val="30"/>
          <w:highlight w:val="none"/>
        </w:rPr>
      </w:pPr>
      <w:r>
        <w:rPr>
          <w:rFonts w:hint="eastAsia" w:ascii="宋体" w:hAnsi="宋体" w:cs="宋体"/>
          <w:sz w:val="30"/>
          <w:szCs w:val="30"/>
          <w:highlight w:val="none"/>
        </w:rPr>
        <w:t>附件2</w:t>
      </w:r>
    </w:p>
    <w:p>
      <w:pPr>
        <w:jc w:val="center"/>
        <w:rPr>
          <w:rFonts w:ascii="宋体" w:hAnsi="宋体" w:cs="宋体"/>
          <w:sz w:val="30"/>
          <w:szCs w:val="30"/>
          <w:highlight w:val="none"/>
        </w:rPr>
      </w:pPr>
      <w:r>
        <w:rPr>
          <w:rFonts w:hint="eastAsia" w:ascii="宋体" w:hAnsi="宋体" w:cs="宋体"/>
          <w:sz w:val="30"/>
          <w:szCs w:val="30"/>
          <w:highlight w:val="none"/>
        </w:rPr>
        <w:t>法定代表人授权委托书</w:t>
      </w:r>
    </w:p>
    <w:p>
      <w:pPr>
        <w:adjustRightInd w:val="0"/>
        <w:snapToGrid w:val="0"/>
        <w:spacing w:line="360" w:lineRule="auto"/>
        <w:rPr>
          <w:rFonts w:ascii="宋体" w:hAnsi="宋体" w:cs="宋体"/>
          <w:b/>
          <w:sz w:val="28"/>
          <w:szCs w:val="28"/>
          <w:highlight w:val="none"/>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本人</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（姓名、职务）系</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（谈判方名称）的法定代表人，现授权</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（姓名、职务）为我方代理人。代理人根据授权，以我方名义：(1)签署、澄清、补正、修改、撤回、提交</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谈判响应文件；(2)签署并重新提交响应文件及最后报价；(3)签订合同和处理有关事宜（4）</w:t>
      </w:r>
      <w:bookmarkStart w:id="28" w:name="OLE_LINK26"/>
      <w:r>
        <w:rPr>
          <w:rFonts w:hint="eastAsia" w:ascii="宋体" w:hAnsi="宋体" w:cs="宋体"/>
          <w:kern w:val="0"/>
          <w:sz w:val="24"/>
          <w:szCs w:val="24"/>
          <w:highlight w:val="none"/>
        </w:rPr>
        <w:t>询问、质疑、投诉等相关事宜</w:t>
      </w:r>
      <w:bookmarkEnd w:id="28"/>
      <w:r>
        <w:rPr>
          <w:rFonts w:hint="eastAsia" w:ascii="宋体" w:hAnsi="宋体" w:cs="宋体"/>
          <w:kern w:val="0"/>
          <w:sz w:val="24"/>
          <w:szCs w:val="24"/>
          <w:highlight w:val="none"/>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委托期限：</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 xml:space="preserve"> 。</w:t>
      </w:r>
    </w:p>
    <w:p>
      <w:pPr>
        <w:spacing w:line="360" w:lineRule="auto"/>
        <w:ind w:firstLine="435"/>
        <w:rPr>
          <w:rFonts w:ascii="宋体" w:hAnsi="宋体" w:cs="宋体"/>
          <w:kern w:val="0"/>
          <w:sz w:val="24"/>
          <w:szCs w:val="24"/>
          <w:highlight w:val="none"/>
        </w:rPr>
      </w:pPr>
      <w:r>
        <w:rPr>
          <w:rFonts w:hint="eastAsia" w:ascii="宋体" w:hAnsi="宋体" w:cs="宋体"/>
          <w:kern w:val="0"/>
          <w:sz w:val="24"/>
          <w:szCs w:val="24"/>
          <w:highlight w:val="none"/>
        </w:rPr>
        <w:t>代理人无转委托权。</w:t>
      </w:r>
    </w:p>
    <w:p>
      <w:pPr>
        <w:spacing w:line="360" w:lineRule="auto"/>
        <w:ind w:firstLine="435"/>
        <w:rPr>
          <w:rFonts w:ascii="宋体" w:hAnsi="宋体" w:cs="宋体"/>
          <w:sz w:val="24"/>
          <w:szCs w:val="24"/>
          <w:highlight w:val="none"/>
        </w:rPr>
      </w:pPr>
      <w:r>
        <w:rPr>
          <w:rFonts w:hint="eastAsia" w:ascii="宋体" w:hAnsi="宋体" w:cs="宋体"/>
          <w:sz w:val="24"/>
          <w:szCs w:val="24"/>
          <w:highlight w:val="none"/>
        </w:rPr>
        <w:t>本授权书于</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日签字生效，特此声明。</w:t>
      </w:r>
    </w:p>
    <w:p>
      <w:pPr>
        <w:adjustRightInd w:val="0"/>
        <w:snapToGrid w:val="0"/>
        <w:spacing w:beforeLines="50"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附：委托代理人身份证复印件及法定代表人身份证明(附件1，原件)</w:t>
      </w:r>
    </w:p>
    <w:p>
      <w:pPr>
        <w:adjustRightInd w:val="0"/>
        <w:snapToGrid w:val="0"/>
        <w:spacing w:line="360" w:lineRule="auto"/>
        <w:ind w:right="420"/>
        <w:rPr>
          <w:rFonts w:ascii="宋体" w:hAnsi="宋体" w:cs="宋体"/>
          <w:sz w:val="24"/>
          <w:szCs w:val="24"/>
          <w:highlight w:val="none"/>
        </w:rPr>
      </w:pPr>
    </w:p>
    <w:p>
      <w:pPr>
        <w:adjustRightInd w:val="0"/>
        <w:snapToGrid w:val="0"/>
        <w:spacing w:line="360" w:lineRule="auto"/>
        <w:ind w:right="420"/>
        <w:rPr>
          <w:rFonts w:ascii="宋体" w:hAnsi="宋体" w:cs="宋体"/>
          <w:sz w:val="24"/>
          <w:szCs w:val="24"/>
          <w:highlight w:val="none"/>
        </w:rPr>
      </w:pPr>
      <w:r>
        <w:rPr>
          <w:rFonts w:hint="eastAsia" w:ascii="宋体" w:hAnsi="宋体" w:cs="宋体"/>
          <w:sz w:val="24"/>
          <w:szCs w:val="24"/>
          <w:highlight w:val="none"/>
        </w:rPr>
        <w:t>谈判方名称（盖单位章）：</w:t>
      </w:r>
      <w:r>
        <w:rPr>
          <w:rFonts w:hint="eastAsia" w:ascii="宋体" w:hAnsi="宋体" w:cs="宋体"/>
          <w:sz w:val="24"/>
          <w:szCs w:val="24"/>
          <w:highlight w:val="none"/>
          <w:u w:val="single"/>
        </w:rPr>
        <w:t xml:space="preserve">                     </w:t>
      </w:r>
    </w:p>
    <w:p>
      <w:pPr>
        <w:adjustRightInd w:val="0"/>
        <w:snapToGrid w:val="0"/>
        <w:spacing w:line="360" w:lineRule="auto"/>
        <w:ind w:right="420"/>
        <w:rPr>
          <w:rFonts w:ascii="宋体" w:hAnsi="宋体" w:cs="宋体"/>
          <w:sz w:val="24"/>
          <w:szCs w:val="24"/>
          <w:highlight w:val="none"/>
        </w:rPr>
      </w:pPr>
      <w:r>
        <w:rPr>
          <w:rFonts w:hint="eastAsia" w:ascii="宋体" w:hAnsi="宋体" w:cs="宋体"/>
          <w:sz w:val="24"/>
          <w:szCs w:val="24"/>
          <w:highlight w:val="none"/>
        </w:rPr>
        <w:t>法定代表人（签字）：</w:t>
      </w:r>
      <w:r>
        <w:rPr>
          <w:rFonts w:hint="eastAsia" w:ascii="宋体" w:hAnsi="宋体" w:cs="宋体"/>
          <w:sz w:val="24"/>
          <w:szCs w:val="24"/>
          <w:highlight w:val="none"/>
          <w:u w:val="single"/>
        </w:rPr>
        <w:t xml:space="preserve">                     </w:t>
      </w:r>
    </w:p>
    <w:p>
      <w:pPr>
        <w:adjustRightInd w:val="0"/>
        <w:snapToGrid w:val="0"/>
        <w:spacing w:line="360" w:lineRule="auto"/>
        <w:ind w:right="420"/>
        <w:rPr>
          <w:rFonts w:ascii="宋体" w:hAnsi="宋体" w:cs="宋体"/>
          <w:sz w:val="24"/>
          <w:szCs w:val="24"/>
          <w:highlight w:val="none"/>
        </w:rPr>
      </w:pPr>
      <w:r>
        <w:rPr>
          <w:rFonts w:hint="eastAsia" w:ascii="宋体" w:hAnsi="宋体" w:cs="宋体"/>
          <w:sz w:val="24"/>
          <w:szCs w:val="24"/>
          <w:highlight w:val="none"/>
        </w:rPr>
        <w:t>委托代理人（签字）：</w:t>
      </w:r>
      <w:r>
        <w:rPr>
          <w:rFonts w:hint="eastAsia" w:ascii="宋体" w:hAnsi="宋体" w:cs="宋体"/>
          <w:sz w:val="24"/>
          <w:szCs w:val="24"/>
          <w:highlight w:val="none"/>
          <w:u w:val="single"/>
        </w:rPr>
        <w:t xml:space="preserve">                     </w:t>
      </w:r>
    </w:p>
    <w:p>
      <w:pPr>
        <w:adjustRightInd w:val="0"/>
        <w:snapToGrid w:val="0"/>
        <w:spacing w:line="360" w:lineRule="auto"/>
        <w:ind w:right="24"/>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exact"/>
        <w:rPr>
          <w:rFonts w:ascii="宋体" w:hAnsi="宋体" w:cs="宋体"/>
          <w:b/>
          <w:sz w:val="24"/>
          <w:szCs w:val="24"/>
          <w:highlight w:val="none"/>
        </w:rPr>
      </w:pPr>
    </w:p>
    <w:p>
      <w:pPr>
        <w:spacing w:line="360" w:lineRule="exact"/>
        <w:jc w:val="center"/>
        <w:rPr>
          <w:rFonts w:ascii="宋体" w:hAnsi="宋体" w:cs="宋体"/>
          <w:b/>
          <w:sz w:val="32"/>
          <w:szCs w:val="32"/>
          <w:highlight w:val="none"/>
        </w:rPr>
      </w:pPr>
    </w:p>
    <w:p>
      <w:pPr>
        <w:jc w:val="left"/>
        <w:rPr>
          <w:rFonts w:ascii="宋体" w:hAnsi="宋体" w:cs="宋体"/>
          <w:b/>
          <w:sz w:val="30"/>
          <w:szCs w:val="30"/>
          <w:highlight w:val="none"/>
        </w:rPr>
      </w:pPr>
      <w:r>
        <w:rPr>
          <w:rFonts w:hint="eastAsia" w:ascii="宋体" w:hAnsi="宋体" w:cs="宋体"/>
          <w:b/>
          <w:bCs/>
          <w:sz w:val="24"/>
          <w:szCs w:val="24"/>
          <w:highlight w:val="none"/>
        </w:rPr>
        <w:t>注：法定代表人授权委托书应单独准备一份，在开标时进行身份验证时提交。</w:t>
      </w:r>
      <w:r>
        <w:rPr>
          <w:rFonts w:hint="eastAsia" w:ascii="宋体" w:hAnsi="宋体" w:cs="宋体"/>
          <w:b/>
          <w:sz w:val="32"/>
          <w:szCs w:val="32"/>
          <w:highlight w:val="none"/>
        </w:rPr>
        <w:br w:type="page"/>
      </w:r>
      <w:r>
        <w:rPr>
          <w:rFonts w:hint="eastAsia" w:ascii="宋体" w:hAnsi="宋体" w:cs="宋体"/>
          <w:b/>
          <w:sz w:val="30"/>
          <w:szCs w:val="30"/>
          <w:highlight w:val="none"/>
        </w:rPr>
        <w:t>（二）、谈判保证金缴纳证明材料</w:t>
      </w:r>
    </w:p>
    <w:p>
      <w:pPr>
        <w:adjustRightInd w:val="0"/>
        <w:snapToGrid w:val="0"/>
        <w:spacing w:line="360" w:lineRule="auto"/>
        <w:ind w:left="420"/>
        <w:rPr>
          <w:rFonts w:ascii="宋体" w:hAnsi="宋体" w:cs="宋体"/>
          <w:sz w:val="24"/>
          <w:szCs w:val="24"/>
          <w:highlight w:val="none"/>
        </w:rPr>
      </w:pPr>
      <w:r>
        <w:rPr>
          <w:rFonts w:hint="eastAsia" w:ascii="宋体" w:hAnsi="宋体" w:cs="宋体"/>
          <w:sz w:val="24"/>
          <w:szCs w:val="24"/>
          <w:highlight w:val="none"/>
        </w:rPr>
        <w:t>提供付款凭证复印件。</w:t>
      </w:r>
    </w:p>
    <w:p>
      <w:pPr>
        <w:rPr>
          <w:rFonts w:ascii="宋体" w:hAnsi="宋体" w:cs="宋体"/>
          <w:b/>
          <w:sz w:val="30"/>
          <w:szCs w:val="30"/>
          <w:highlight w:val="none"/>
        </w:rPr>
      </w:pPr>
      <w:r>
        <w:rPr>
          <w:rFonts w:hint="eastAsia" w:ascii="宋体" w:hAnsi="宋体" w:cs="宋体"/>
          <w:b/>
          <w:sz w:val="30"/>
          <w:szCs w:val="30"/>
          <w:highlight w:val="none"/>
        </w:rPr>
        <w:t>（三）、谈判方的资格证明资料</w:t>
      </w: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pStyle w:val="2"/>
        <w:spacing w:after="312"/>
        <w:ind w:firstLine="600"/>
        <w:rPr>
          <w:highlight w:val="none"/>
          <w:lang w:val="en-US"/>
        </w:rPr>
      </w:pPr>
    </w:p>
    <w:p>
      <w:pPr>
        <w:rPr>
          <w:rFonts w:ascii="宋体" w:hAnsi="宋体" w:cs="宋体"/>
          <w:sz w:val="30"/>
          <w:szCs w:val="30"/>
          <w:highlight w:val="none"/>
        </w:rPr>
      </w:pPr>
      <w:r>
        <w:rPr>
          <w:rFonts w:hint="eastAsia" w:ascii="宋体" w:hAnsi="宋体" w:cs="宋体"/>
          <w:sz w:val="30"/>
          <w:szCs w:val="30"/>
          <w:highlight w:val="none"/>
        </w:rPr>
        <w:t>附件3                  谈判方基本情况表</w:t>
      </w:r>
    </w:p>
    <w:p>
      <w:pPr>
        <w:spacing w:line="480" w:lineRule="exact"/>
        <w:rPr>
          <w:rFonts w:ascii="宋体" w:hAnsi="宋体" w:cs="宋体"/>
          <w:sz w:val="24"/>
          <w:szCs w:val="24"/>
          <w:highlight w:val="none"/>
        </w:rPr>
      </w:pPr>
    </w:p>
    <w:p>
      <w:pPr>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盖谈判方单位章</w:t>
      </w:r>
    </w:p>
    <w:tbl>
      <w:tblPr>
        <w:tblStyle w:val="36"/>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r>
              <w:rPr>
                <w:rFonts w:hint="eastAsia" w:ascii="宋体" w:hAnsi="宋体" w:cs="宋体"/>
                <w:sz w:val="24"/>
                <w:szCs w:val="24"/>
                <w:highlight w:val="none"/>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r>
              <w:rPr>
                <w:rFonts w:hint="eastAsia" w:ascii="宋体" w:hAnsi="宋体" w:cs="宋体"/>
                <w:sz w:val="24"/>
                <w:szCs w:val="24"/>
                <w:highlight w:val="none"/>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highlight w:val="none"/>
              </w:rPr>
            </w:pPr>
            <w:r>
              <w:rPr>
                <w:rFonts w:hint="eastAsia" w:ascii="宋体" w:hAnsi="宋体" w:cs="宋体"/>
                <w:sz w:val="24"/>
                <w:szCs w:val="24"/>
                <w:highlight w:val="none"/>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highlight w:val="none"/>
              </w:rPr>
            </w:pPr>
            <w:r>
              <w:rPr>
                <w:rFonts w:hint="eastAsia" w:ascii="宋体" w:hAnsi="宋体" w:cs="宋体"/>
                <w:sz w:val="24"/>
                <w:szCs w:val="24"/>
                <w:highlight w:val="none"/>
              </w:rPr>
              <w:t>附《营业执照》（副本）复印件</w:t>
            </w:r>
          </w:p>
        </w:tc>
      </w:tr>
    </w:tbl>
    <w:p>
      <w:pPr>
        <w:spacing w:line="480" w:lineRule="exact"/>
        <w:rPr>
          <w:rFonts w:ascii="宋体" w:hAnsi="宋体" w:cs="宋体"/>
          <w:sz w:val="30"/>
          <w:szCs w:val="30"/>
          <w:highlight w:val="none"/>
        </w:rPr>
      </w:pPr>
    </w:p>
    <w:p>
      <w:pPr>
        <w:pStyle w:val="2"/>
        <w:spacing w:after="312"/>
        <w:ind w:firstLine="600"/>
        <w:rPr>
          <w:highlight w:val="none"/>
          <w:lang w:val="en-US"/>
        </w:rPr>
      </w:pPr>
    </w:p>
    <w:p>
      <w:pPr>
        <w:jc w:val="left"/>
        <w:rPr>
          <w:rFonts w:ascii="宋体" w:hAnsi="宋体" w:cs="宋体"/>
          <w:sz w:val="30"/>
          <w:szCs w:val="30"/>
          <w:highlight w:val="none"/>
        </w:rPr>
      </w:pPr>
      <w:r>
        <w:rPr>
          <w:rFonts w:hint="eastAsia" w:ascii="宋体" w:hAnsi="宋体" w:cs="宋体"/>
          <w:sz w:val="30"/>
          <w:szCs w:val="30"/>
          <w:highlight w:val="none"/>
        </w:rPr>
        <w:t>附件4      谈判邀请文件规定的基本资格条件证明资料</w:t>
      </w:r>
    </w:p>
    <w:p>
      <w:pPr>
        <w:spacing w:line="480" w:lineRule="exact"/>
        <w:rPr>
          <w:rFonts w:ascii="宋体" w:hAnsi="宋体" w:cs="宋体"/>
          <w:highlight w:val="none"/>
        </w:rPr>
      </w:pPr>
    </w:p>
    <w:p>
      <w:pPr>
        <w:jc w:val="left"/>
        <w:rPr>
          <w:rFonts w:ascii="宋体" w:hAnsi="宋体" w:cs="宋体"/>
          <w:sz w:val="30"/>
          <w:szCs w:val="30"/>
          <w:highlight w:val="none"/>
        </w:rPr>
      </w:pPr>
      <w:r>
        <w:rPr>
          <w:rFonts w:hint="eastAsia" w:ascii="宋体" w:hAnsi="宋体" w:cs="宋体"/>
          <w:sz w:val="30"/>
          <w:szCs w:val="30"/>
          <w:highlight w:val="none"/>
        </w:rPr>
        <w:t>附件5      谈判邀请文件规定的特定资格条件证明资料</w:t>
      </w:r>
    </w:p>
    <w:p>
      <w:pPr>
        <w:spacing w:line="480" w:lineRule="exact"/>
        <w:rPr>
          <w:rFonts w:ascii="宋体" w:hAnsi="宋体" w:cs="宋体"/>
          <w:highlight w:val="none"/>
        </w:rPr>
      </w:pPr>
    </w:p>
    <w:p>
      <w:pPr>
        <w:rPr>
          <w:rFonts w:ascii="宋体" w:hAnsi="宋体" w:cs="宋体"/>
          <w:b/>
          <w:sz w:val="30"/>
          <w:szCs w:val="30"/>
          <w:highlight w:val="none"/>
        </w:rPr>
      </w:pPr>
      <w:r>
        <w:rPr>
          <w:rFonts w:hint="eastAsia" w:ascii="宋体" w:hAnsi="宋体" w:cs="宋体"/>
          <w:b/>
          <w:sz w:val="30"/>
          <w:szCs w:val="30"/>
          <w:highlight w:val="none"/>
        </w:rPr>
        <w:t>（四）、方案及售后服务方案</w:t>
      </w:r>
    </w:p>
    <w:p>
      <w:pPr>
        <w:jc w:val="left"/>
        <w:rPr>
          <w:rFonts w:ascii="宋体" w:hAnsi="宋体" w:cs="宋体"/>
          <w:sz w:val="30"/>
          <w:szCs w:val="30"/>
          <w:highlight w:val="none"/>
        </w:rPr>
      </w:pPr>
      <w:r>
        <w:rPr>
          <w:rFonts w:hint="eastAsia" w:ascii="宋体" w:hAnsi="宋体" w:cs="宋体"/>
          <w:sz w:val="30"/>
          <w:szCs w:val="30"/>
          <w:highlight w:val="none"/>
        </w:rPr>
        <w:t>附件6    （格式自拟，内容包含但不限于</w:t>
      </w:r>
      <w:r>
        <w:rPr>
          <w:rFonts w:hint="eastAsia" w:ascii="宋体" w:hAnsi="宋体" w:cs="宋体"/>
          <w:color w:val="000000"/>
          <w:sz w:val="30"/>
          <w:szCs w:val="30"/>
          <w:highlight w:val="none"/>
        </w:rPr>
        <w:t>施工组织方案、人员安排、售后服务方案等等</w:t>
      </w:r>
      <w:r>
        <w:rPr>
          <w:rFonts w:hint="eastAsia" w:ascii="宋体" w:hAnsi="宋体" w:cs="宋体"/>
          <w:sz w:val="30"/>
          <w:szCs w:val="30"/>
          <w:highlight w:val="none"/>
        </w:rPr>
        <w:t xml:space="preserve">）          </w:t>
      </w: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rPr>
          <w:rFonts w:ascii="宋体" w:hAnsi="宋体" w:cs="宋体"/>
          <w:highlight w:val="none"/>
        </w:rPr>
      </w:pPr>
    </w:p>
    <w:p>
      <w:pPr>
        <w:adjustRightInd w:val="0"/>
        <w:snapToGrid w:val="0"/>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谈判方名称：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日期：       年      月     日</w:t>
      </w:r>
    </w:p>
    <w:p>
      <w:pPr>
        <w:rPr>
          <w:rFonts w:ascii="宋体" w:hAnsi="宋体" w:cs="宋体"/>
          <w:highlight w:val="none"/>
        </w:rPr>
      </w:pPr>
    </w:p>
    <w:p>
      <w:pPr>
        <w:adjustRightInd w:val="0"/>
        <w:snapToGrid w:val="0"/>
        <w:rPr>
          <w:rFonts w:ascii="宋体" w:hAnsi="宋体" w:cs="宋体"/>
          <w:highlight w:val="none"/>
        </w:rPr>
      </w:pPr>
    </w:p>
    <w:p>
      <w:pPr>
        <w:adjustRightInd w:val="0"/>
        <w:snapToGrid w:val="0"/>
        <w:spacing w:line="360" w:lineRule="auto"/>
        <w:jc w:val="center"/>
        <w:outlineLvl w:val="0"/>
        <w:rPr>
          <w:rFonts w:ascii="宋体" w:hAnsi="宋体" w:cs="宋体"/>
          <w:b/>
          <w:sz w:val="30"/>
          <w:szCs w:val="30"/>
          <w:highlight w:val="none"/>
        </w:rPr>
      </w:pPr>
    </w:p>
    <w:p>
      <w:pPr>
        <w:rPr>
          <w:rFonts w:ascii="宋体" w:hAnsi="宋体" w:cs="宋体"/>
          <w:b/>
          <w:sz w:val="30"/>
          <w:szCs w:val="30"/>
          <w:highlight w:val="none"/>
        </w:rPr>
      </w:pPr>
      <w:r>
        <w:rPr>
          <w:rFonts w:hint="eastAsia" w:ascii="宋体" w:hAnsi="宋体" w:cs="宋体"/>
          <w:b/>
          <w:sz w:val="30"/>
          <w:szCs w:val="30"/>
          <w:highlight w:val="none"/>
        </w:rPr>
        <w:t>（五）、技术/商务响应与偏离表</w:t>
      </w:r>
    </w:p>
    <w:p>
      <w:pPr>
        <w:adjustRightInd w:val="0"/>
        <w:snapToGrid w:val="0"/>
        <w:ind w:left="-88" w:leftChars="-42" w:firstLine="315" w:firstLineChars="150"/>
        <w:rPr>
          <w:rFonts w:ascii="宋体" w:hAnsi="宋体" w:cs="宋体"/>
          <w:highlight w:val="none"/>
          <w:u w:val="single"/>
        </w:rPr>
      </w:pP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highlight w:val="none"/>
              </w:rPr>
            </w:pPr>
            <w:r>
              <w:rPr>
                <w:rFonts w:hint="eastAsia" w:ascii="宋体" w:hAnsi="宋体" w:cs="宋体"/>
                <w:bCs/>
                <w:highlight w:val="none"/>
              </w:rPr>
              <w:t>序号</w:t>
            </w:r>
          </w:p>
        </w:tc>
        <w:tc>
          <w:tcPr>
            <w:tcW w:w="1781"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谈判邀请文件条目号</w:t>
            </w:r>
          </w:p>
        </w:tc>
        <w:tc>
          <w:tcPr>
            <w:tcW w:w="2059"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采购规格/商务条款</w:t>
            </w:r>
          </w:p>
        </w:tc>
        <w:tc>
          <w:tcPr>
            <w:tcW w:w="2748"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谈判文件的规格/商务条款</w:t>
            </w:r>
          </w:p>
        </w:tc>
        <w:tc>
          <w:tcPr>
            <w:tcW w:w="1283"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响应与偏离</w:t>
            </w:r>
          </w:p>
        </w:tc>
        <w:tc>
          <w:tcPr>
            <w:tcW w:w="699" w:type="dxa"/>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highlight w:val="none"/>
              </w:rPr>
            </w:pPr>
          </w:p>
        </w:tc>
        <w:tc>
          <w:tcPr>
            <w:tcW w:w="1781" w:type="dxa"/>
            <w:vAlign w:val="center"/>
          </w:tcPr>
          <w:p>
            <w:pPr>
              <w:adjustRightInd w:val="0"/>
              <w:snapToGrid w:val="0"/>
              <w:ind w:left="-88" w:leftChars="-42"/>
              <w:jc w:val="center"/>
              <w:rPr>
                <w:rFonts w:ascii="宋体" w:hAnsi="宋体" w:cs="宋体"/>
                <w:highlight w:val="none"/>
              </w:rPr>
            </w:pPr>
          </w:p>
        </w:tc>
        <w:tc>
          <w:tcPr>
            <w:tcW w:w="2059" w:type="dxa"/>
            <w:vAlign w:val="center"/>
          </w:tcPr>
          <w:p>
            <w:pPr>
              <w:adjustRightInd w:val="0"/>
              <w:snapToGrid w:val="0"/>
              <w:ind w:left="-88" w:leftChars="-42"/>
              <w:jc w:val="center"/>
              <w:rPr>
                <w:rFonts w:ascii="宋体" w:hAnsi="宋体" w:cs="宋体"/>
                <w:highlight w:val="none"/>
              </w:rPr>
            </w:pPr>
          </w:p>
        </w:tc>
        <w:tc>
          <w:tcPr>
            <w:tcW w:w="2748" w:type="dxa"/>
            <w:vAlign w:val="center"/>
          </w:tcPr>
          <w:p>
            <w:pPr>
              <w:adjustRightInd w:val="0"/>
              <w:snapToGrid w:val="0"/>
              <w:ind w:left="-88" w:leftChars="-42"/>
              <w:jc w:val="center"/>
              <w:rPr>
                <w:rFonts w:ascii="宋体" w:hAnsi="宋体" w:cs="宋体"/>
                <w:highlight w:val="none"/>
              </w:rPr>
            </w:pPr>
          </w:p>
        </w:tc>
        <w:tc>
          <w:tcPr>
            <w:tcW w:w="1283" w:type="dxa"/>
            <w:vAlign w:val="center"/>
          </w:tcPr>
          <w:p>
            <w:pPr>
              <w:adjustRightInd w:val="0"/>
              <w:snapToGrid w:val="0"/>
              <w:ind w:left="-88" w:leftChars="-42"/>
              <w:jc w:val="center"/>
              <w:rPr>
                <w:rFonts w:ascii="宋体" w:hAnsi="宋体" w:cs="宋体"/>
                <w:highlight w:val="none"/>
              </w:rPr>
            </w:pPr>
          </w:p>
        </w:tc>
        <w:tc>
          <w:tcPr>
            <w:tcW w:w="699" w:type="dxa"/>
            <w:vAlign w:val="center"/>
          </w:tcPr>
          <w:p>
            <w:pPr>
              <w:adjustRightInd w:val="0"/>
              <w:snapToGrid w:val="0"/>
              <w:ind w:left="-88" w:leftChars="-42"/>
              <w:jc w:val="center"/>
              <w:rPr>
                <w:rFonts w:ascii="宋体" w:hAnsi="宋体" w:cs="宋体"/>
                <w:highlight w:val="none"/>
              </w:rPr>
            </w:pPr>
          </w:p>
        </w:tc>
      </w:tr>
    </w:tbl>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说明：“响应与偏离”应注明“响应”或“偏离”。</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供应商名称：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日期：       年      月     日</w:t>
      </w:r>
    </w:p>
    <w:p>
      <w:pPr>
        <w:adjustRightInd w:val="0"/>
        <w:snapToGrid w:val="0"/>
        <w:spacing w:line="360" w:lineRule="auto"/>
        <w:rPr>
          <w:rFonts w:ascii="宋体" w:hAnsi="宋体" w:cs="宋体"/>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rPr>
          <w:rFonts w:ascii="宋体" w:hAnsi="宋体" w:cs="宋体"/>
          <w:b/>
          <w:bCs/>
          <w:sz w:val="32"/>
          <w:szCs w:val="32"/>
          <w:highlight w:val="none"/>
        </w:rPr>
      </w:pPr>
      <w:r>
        <w:rPr>
          <w:rFonts w:hint="eastAsia" w:ascii="宋体" w:hAnsi="宋体" w:cs="宋体"/>
          <w:b/>
          <w:sz w:val="30"/>
          <w:szCs w:val="30"/>
          <w:highlight w:val="none"/>
        </w:rPr>
        <w:t>（六）、货物说明一览表</w:t>
      </w:r>
    </w:p>
    <w:tbl>
      <w:tblPr>
        <w:tblStyle w:val="36"/>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highlight w:val="none"/>
              </w:rPr>
            </w:pPr>
            <w:r>
              <w:rPr>
                <w:rFonts w:hint="eastAsia" w:ascii="宋体" w:hAnsi="宋体" w:cs="宋体"/>
                <w:highlight w:val="none"/>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highlight w:val="none"/>
              </w:rPr>
            </w:pPr>
          </w:p>
        </w:tc>
        <w:tc>
          <w:tcPr>
            <w:tcW w:w="1383" w:type="dxa"/>
            <w:vAlign w:val="center"/>
          </w:tcPr>
          <w:p>
            <w:pPr>
              <w:adjustRightInd w:val="0"/>
              <w:snapToGrid w:val="0"/>
              <w:ind w:left="-88" w:leftChars="-42"/>
              <w:jc w:val="center"/>
              <w:rPr>
                <w:rFonts w:ascii="宋体" w:hAnsi="宋体" w:cs="宋体"/>
                <w:highlight w:val="none"/>
              </w:rPr>
            </w:pPr>
          </w:p>
        </w:tc>
        <w:tc>
          <w:tcPr>
            <w:tcW w:w="1732" w:type="dxa"/>
            <w:vAlign w:val="center"/>
          </w:tcPr>
          <w:p>
            <w:pPr>
              <w:adjustRightInd w:val="0"/>
              <w:snapToGrid w:val="0"/>
              <w:ind w:left="-88" w:leftChars="-42"/>
              <w:jc w:val="center"/>
              <w:rPr>
                <w:rFonts w:ascii="宋体" w:hAnsi="宋体" w:cs="宋体"/>
                <w:highlight w:val="none"/>
              </w:rPr>
            </w:pPr>
          </w:p>
        </w:tc>
        <w:tc>
          <w:tcPr>
            <w:tcW w:w="1558" w:type="dxa"/>
            <w:vAlign w:val="center"/>
          </w:tcPr>
          <w:p>
            <w:pPr>
              <w:adjustRightInd w:val="0"/>
              <w:snapToGrid w:val="0"/>
              <w:ind w:left="-88" w:leftChars="-42"/>
              <w:jc w:val="center"/>
              <w:rPr>
                <w:rFonts w:ascii="宋体" w:hAnsi="宋体" w:cs="宋体"/>
                <w:highlight w:val="none"/>
              </w:rPr>
            </w:pPr>
          </w:p>
        </w:tc>
        <w:tc>
          <w:tcPr>
            <w:tcW w:w="1488" w:type="dxa"/>
            <w:vAlign w:val="center"/>
          </w:tcPr>
          <w:p>
            <w:pPr>
              <w:adjustRightInd w:val="0"/>
              <w:snapToGrid w:val="0"/>
              <w:ind w:left="-88" w:leftChars="-42"/>
              <w:jc w:val="center"/>
              <w:rPr>
                <w:rFonts w:ascii="宋体" w:hAnsi="宋体" w:cs="宋体"/>
                <w:highlight w:val="none"/>
              </w:rPr>
            </w:pPr>
          </w:p>
        </w:tc>
        <w:tc>
          <w:tcPr>
            <w:tcW w:w="1139" w:type="dxa"/>
            <w:tcBorders>
              <w:right w:val="single" w:color="auto" w:sz="4" w:space="0"/>
            </w:tcBorders>
            <w:vAlign w:val="center"/>
          </w:tcPr>
          <w:p>
            <w:pPr>
              <w:adjustRightInd w:val="0"/>
              <w:snapToGrid w:val="0"/>
              <w:ind w:left="-88" w:leftChars="-42"/>
              <w:jc w:val="center"/>
              <w:rPr>
                <w:rFonts w:ascii="宋体" w:hAnsi="宋体" w:cs="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highlight w:val="none"/>
              </w:rPr>
            </w:pPr>
          </w:p>
        </w:tc>
        <w:tc>
          <w:tcPr>
            <w:tcW w:w="1383"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732"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558"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488" w:type="dxa"/>
            <w:tcBorders>
              <w:bottom w:val="single" w:color="auto" w:sz="4" w:space="0"/>
            </w:tcBorders>
            <w:vAlign w:val="center"/>
          </w:tcPr>
          <w:p>
            <w:pPr>
              <w:adjustRightInd w:val="0"/>
              <w:snapToGrid w:val="0"/>
              <w:ind w:left="-88" w:leftChars="-42"/>
              <w:jc w:val="center"/>
              <w:rPr>
                <w:rFonts w:ascii="宋体" w:hAnsi="宋体" w:cs="宋体"/>
                <w:highlight w:val="none"/>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highlight w:val="none"/>
              </w:rPr>
            </w:pPr>
          </w:p>
        </w:tc>
      </w:tr>
    </w:tbl>
    <w:p>
      <w:pPr>
        <w:adjustRightInd w:val="0"/>
        <w:snapToGrid w:val="0"/>
        <w:ind w:left="-88" w:leftChars="-42"/>
        <w:rPr>
          <w:rFonts w:ascii="宋体" w:hAnsi="宋体" w:cs="宋体"/>
          <w:bCs/>
          <w:kern w:val="0"/>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备注：将拟用于本项目的货物列出，主要技术参数和技术指标可另页描述。</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供应商名称：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      期：       年      月     日</w:t>
      </w:r>
    </w:p>
    <w:p>
      <w:pPr>
        <w:rPr>
          <w:rFonts w:ascii="宋体" w:hAnsi="宋体" w:cs="宋体"/>
          <w:b/>
          <w:sz w:val="32"/>
          <w:szCs w:val="24"/>
          <w:highlight w:val="none"/>
        </w:rPr>
      </w:pPr>
    </w:p>
    <w:p>
      <w:pPr>
        <w:rPr>
          <w:rFonts w:ascii="宋体" w:hAnsi="宋体" w:cs="宋体"/>
          <w:b/>
          <w:sz w:val="30"/>
          <w:szCs w:val="30"/>
          <w:highlight w:val="none"/>
        </w:rPr>
      </w:pPr>
      <w:r>
        <w:rPr>
          <w:rFonts w:hint="eastAsia" w:ascii="宋体" w:hAnsi="宋体" w:cs="宋体"/>
          <w:b/>
          <w:bCs/>
          <w:sz w:val="32"/>
          <w:szCs w:val="32"/>
          <w:highlight w:val="none"/>
        </w:rPr>
        <w:br w:type="page"/>
      </w:r>
      <w:r>
        <w:rPr>
          <w:rFonts w:hint="eastAsia" w:ascii="宋体" w:hAnsi="宋体" w:cs="宋体"/>
          <w:b/>
          <w:sz w:val="30"/>
          <w:szCs w:val="30"/>
          <w:highlight w:val="none"/>
        </w:rPr>
        <w:t>（七）、报价一览表</w:t>
      </w:r>
    </w:p>
    <w:p>
      <w:pPr>
        <w:jc w:val="left"/>
        <w:rPr>
          <w:rFonts w:ascii="宋体" w:hAnsi="宋体" w:cs="宋体"/>
          <w:sz w:val="30"/>
          <w:szCs w:val="30"/>
          <w:highlight w:val="none"/>
        </w:rPr>
      </w:pPr>
      <w:r>
        <w:rPr>
          <w:rFonts w:hint="eastAsia" w:ascii="宋体" w:hAnsi="宋体" w:cs="宋体"/>
          <w:sz w:val="30"/>
          <w:szCs w:val="30"/>
          <w:highlight w:val="none"/>
        </w:rPr>
        <w:t>附件7</w:t>
      </w:r>
      <w:r>
        <w:rPr>
          <w:rFonts w:hint="eastAsia" w:ascii="宋体" w:hAnsi="宋体" w:cs="宋体"/>
          <w:sz w:val="30"/>
          <w:szCs w:val="30"/>
          <w:highlight w:val="none"/>
        </w:rPr>
        <w:tab/>
      </w:r>
    </w:p>
    <w:p>
      <w:pPr>
        <w:jc w:val="center"/>
        <w:rPr>
          <w:rFonts w:ascii="宋体" w:hAnsi="宋体" w:cs="宋体"/>
          <w:b/>
          <w:sz w:val="30"/>
          <w:szCs w:val="30"/>
          <w:highlight w:val="none"/>
        </w:rPr>
      </w:pPr>
      <w:r>
        <w:rPr>
          <w:rFonts w:hint="eastAsia" w:ascii="宋体" w:hAnsi="宋体" w:cs="宋体"/>
          <w:b/>
          <w:sz w:val="30"/>
          <w:szCs w:val="30"/>
          <w:highlight w:val="none"/>
        </w:rPr>
        <w:t>报价一览表及报价文件</w:t>
      </w:r>
    </w:p>
    <w:p>
      <w:pPr>
        <w:adjustRightInd w:val="0"/>
        <w:snapToGrid w:val="0"/>
        <w:rPr>
          <w:rFonts w:ascii="宋体" w:hAnsi="宋体" w:cs="宋体"/>
          <w:color w:val="000000"/>
          <w:sz w:val="24"/>
          <w:highlight w:val="none"/>
        </w:rPr>
      </w:pP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大写：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元人民币整</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小写：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highlight w:val="none"/>
              </w:rPr>
            </w:pPr>
          </w:p>
        </w:tc>
      </w:tr>
    </w:tbl>
    <w:p>
      <w:pPr>
        <w:adjustRightInd w:val="0"/>
        <w:snapToGrid w:val="0"/>
        <w:spacing w:line="360" w:lineRule="auto"/>
        <w:rPr>
          <w:rFonts w:ascii="宋体" w:hAnsi="宋体" w:cs="宋体"/>
          <w:color w:val="000000"/>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谈判方名称：                   </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法定代表人或其委托代理人(签字)：                   </w:t>
      </w:r>
    </w:p>
    <w:p>
      <w:pPr>
        <w:spacing w:line="360" w:lineRule="auto"/>
        <w:rPr>
          <w:rFonts w:ascii="宋体" w:hAnsi="宋体" w:cs="宋体"/>
          <w:sz w:val="24"/>
          <w:szCs w:val="24"/>
          <w:highlight w:val="none"/>
        </w:rPr>
      </w:pPr>
      <w:r>
        <w:rPr>
          <w:rFonts w:hint="eastAsia" w:ascii="宋体" w:hAnsi="宋体" w:cs="宋体"/>
          <w:sz w:val="24"/>
          <w:szCs w:val="24"/>
          <w:highlight w:val="none"/>
        </w:rPr>
        <w:t>日          期：       年      月     日</w:t>
      </w:r>
    </w:p>
    <w:p>
      <w:pPr>
        <w:jc w:val="left"/>
        <w:rPr>
          <w:rFonts w:ascii="宋体" w:hAnsi="宋体" w:cs="宋体"/>
          <w:sz w:val="30"/>
          <w:szCs w:val="30"/>
          <w:highlight w:val="none"/>
        </w:rPr>
      </w:pPr>
    </w:p>
    <w:p>
      <w:pPr>
        <w:jc w:val="left"/>
        <w:rPr>
          <w:rFonts w:ascii="宋体" w:hAnsi="宋体" w:cs="宋体"/>
          <w:b/>
          <w:sz w:val="30"/>
          <w:szCs w:val="30"/>
          <w:highlight w:val="none"/>
        </w:rPr>
      </w:pPr>
      <w:r>
        <w:rPr>
          <w:rFonts w:hint="eastAsia" w:ascii="宋体" w:hAnsi="宋体" w:cs="宋体"/>
          <w:b/>
          <w:sz w:val="30"/>
          <w:szCs w:val="30"/>
          <w:highlight w:val="none"/>
        </w:rPr>
        <w:t>附件8  分项报价表（详见工程量清单）</w:t>
      </w:r>
    </w:p>
    <w:p>
      <w:pPr>
        <w:pStyle w:val="2"/>
        <w:spacing w:after="312"/>
        <w:ind w:firstLine="600"/>
        <w:rPr>
          <w:highlight w:val="none"/>
          <w:lang w:val="en-US"/>
        </w:rPr>
      </w:pPr>
    </w:p>
    <w:p>
      <w:pPr>
        <w:rPr>
          <w:rFonts w:ascii="宋体" w:hAnsi="宋体" w:cs="宋体"/>
          <w:sz w:val="30"/>
          <w:szCs w:val="30"/>
          <w:highlight w:val="none"/>
        </w:rPr>
      </w:pPr>
      <w:r>
        <w:rPr>
          <w:rFonts w:hint="eastAsia" w:ascii="宋体" w:hAnsi="宋体" w:cs="宋体"/>
          <w:b/>
          <w:sz w:val="30"/>
          <w:szCs w:val="30"/>
          <w:highlight w:val="none"/>
        </w:rPr>
        <w:t>（八）</w:t>
      </w:r>
      <w:r>
        <w:rPr>
          <w:rFonts w:hint="eastAsia" w:ascii="宋体" w:hAnsi="宋体" w:cs="宋体"/>
          <w:sz w:val="30"/>
          <w:szCs w:val="30"/>
          <w:highlight w:val="none"/>
        </w:rPr>
        <w:t>、供应商认为需提供的其他资料</w:t>
      </w:r>
    </w:p>
    <w:p>
      <w:pPr>
        <w:rPr>
          <w:rFonts w:ascii="宋体" w:hAnsi="宋体" w:cs="宋体"/>
          <w:sz w:val="30"/>
          <w:szCs w:val="30"/>
          <w:highlight w:val="none"/>
        </w:rPr>
        <w:sectPr>
          <w:headerReference r:id="rId7" w:type="default"/>
          <w:pgSz w:w="11906" w:h="16838"/>
          <w:pgMar w:top="851" w:right="1133" w:bottom="993" w:left="1418" w:header="709" w:footer="120"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 w:val="30"/>
          <w:szCs w:val="30"/>
          <w:highlight w:val="none"/>
        </w:rPr>
        <w:t>附：评审因素中所涉及的材料可附在此</w:t>
      </w:r>
    </w:p>
    <w:bookmarkEnd w:id="11"/>
    <w:bookmarkEnd w:id="16"/>
    <w:bookmarkEnd w:id="17"/>
    <w:bookmarkEnd w:id="18"/>
    <w:bookmarkEnd w:id="19"/>
    <w:p>
      <w:pPr>
        <w:widowControl/>
        <w:numPr>
          <w:ilvl w:val="0"/>
          <w:numId w:val="11"/>
        </w:numPr>
        <w:jc w:val="center"/>
        <w:textAlignment w:val="center"/>
        <w:rPr>
          <w:rFonts w:hint="eastAsia" w:ascii="宋体" w:hAnsi="宋体" w:cs="宋体"/>
          <w:b/>
          <w:sz w:val="32"/>
          <w:szCs w:val="32"/>
          <w:highlight w:val="none"/>
        </w:rPr>
      </w:pPr>
      <w:r>
        <w:rPr>
          <w:rFonts w:hint="eastAsia" w:ascii="宋体" w:hAnsi="宋体" w:cs="宋体"/>
          <w:b/>
          <w:sz w:val="32"/>
          <w:szCs w:val="32"/>
          <w:highlight w:val="none"/>
        </w:rPr>
        <w:t xml:space="preserve"> 工程量清单</w:t>
      </w:r>
    </w:p>
    <w:tbl>
      <w:tblPr>
        <w:tblStyle w:val="36"/>
        <w:tblpPr w:leftFromText="180" w:rightFromText="180" w:vertAnchor="text" w:horzAnchor="page" w:tblpX="1935" w:tblpY="916"/>
        <w:tblOverlap w:val="never"/>
        <w:tblW w:w="11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480"/>
        <w:gridCol w:w="4203"/>
        <w:gridCol w:w="1080"/>
        <w:gridCol w:w="1080"/>
        <w:gridCol w:w="1400"/>
        <w:gridCol w:w="167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970" w:type="dxa"/>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永安新五丰电路改造项目工程量清单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名称规格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单价</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总价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一</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电控柜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固液分离电控柜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原二号风机室电控柜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碳钢喷塑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厌氧池回流泵电控柜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原一号风机室电控柜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碳钢喷塑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叠螺机电控柜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冲泡泵回流泵电控柜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中间提升泵，应急提升泵电控柜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加药区电控柜</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生活区电源盒</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 </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二</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电缆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3*16+2*10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3*25+1*16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三</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桥架支架及线管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桥架型号：100*50</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桥架材质：304</w:t>
            </w: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桥架支架及水泥墩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线管管材及管沟开挖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紧固件及连接件等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四</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旧电缆及旧电控柜拆除费用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旧电缆及线管拆除费用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875.00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旧大电控柜（支架，变频器等）拆除费用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旧电控柜（支架，断路器等）拆除费用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门窗安装及房屋修缮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屋内油漆地面硬化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70.30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外墙刮灰、油漆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59.00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不锈钢门202材质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铝合金窗户带窗页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4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钢架棚屋顶热镀锌4*6，屋面树脂瓦带后天沟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147.00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包人工、材料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五</w:t>
            </w:r>
          </w:p>
        </w:tc>
        <w:tc>
          <w:tcPr>
            <w:tcW w:w="11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其他辅材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电控标牌、警示牌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支架油漆及涂装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直接费用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管理费3%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税金9%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gridSpan w:val="2"/>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合计</w:t>
            </w: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highlight w:val="none"/>
                <w:u w:val="none"/>
              </w:rPr>
            </w:pP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含税，运费及安装费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970" w:type="dxa"/>
            <w:gridSpan w:val="8"/>
            <w:vMerge w:val="restart"/>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本报价单含税，运费及安装费。2</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生活区电缆走线管其余位置走线槽。3</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本报价单未含主电缆。4</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电控柜控制逻辑等在（附件一）中,5</w:t>
            </w:r>
            <w:r>
              <w:rPr>
                <w:rFonts w:hint="eastAsia" w:ascii="宋体" w:hAnsi="宋体" w:cs="宋体"/>
                <w:b/>
                <w:bCs/>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电控柜中电子元器件在（附件二）中。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970" w:type="dxa"/>
            <w:gridSpan w:val="8"/>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970" w:type="dxa"/>
            <w:gridSpan w:val="8"/>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eastAsia" w:ascii="宋体" w:hAnsi="宋体" w:eastAsia="宋体" w:cs="宋体"/>
                <w:b/>
                <w:bCs/>
                <w:i w:val="0"/>
                <w:iCs w:val="0"/>
                <w:color w:val="000000"/>
                <w:sz w:val="22"/>
                <w:szCs w:val="22"/>
                <w:highlight w:val="none"/>
                <w:u w:val="none"/>
              </w:rPr>
            </w:pPr>
          </w:p>
        </w:tc>
      </w:tr>
    </w:tbl>
    <w:p>
      <w:pPr>
        <w:pStyle w:val="2"/>
        <w:numPr>
          <w:ilvl w:val="0"/>
          <w:numId w:val="0"/>
        </w:numPr>
        <w:rPr>
          <w:highlight w:val="none"/>
        </w:rPr>
      </w:pPr>
    </w:p>
    <w:p>
      <w:pPr>
        <w:pStyle w:val="2"/>
        <w:numPr>
          <w:ilvl w:val="0"/>
          <w:numId w:val="0"/>
        </w:numPr>
        <w:rPr>
          <w:rFonts w:hint="eastAsia" w:eastAsia="宋体"/>
          <w:b/>
          <w:bCs/>
          <w:highlight w:val="none"/>
          <w:lang w:eastAsia="zh-CN"/>
        </w:rPr>
      </w:pPr>
      <w:r>
        <w:rPr>
          <w:rFonts w:hint="eastAsia"/>
          <w:b/>
          <w:bCs/>
          <w:highlight w:val="none"/>
          <w:lang w:eastAsia="zh-CN"/>
        </w:rPr>
        <w:t>附件一：</w:t>
      </w:r>
    </w:p>
    <w:tbl>
      <w:tblPr>
        <w:tblStyle w:val="36"/>
        <w:tblW w:w="14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2648"/>
        <w:gridCol w:w="3818"/>
        <w:gridCol w:w="720"/>
        <w:gridCol w:w="780"/>
        <w:gridCol w:w="6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76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b/>
                <w:bCs/>
                <w:i w:val="0"/>
                <w:iCs w:val="0"/>
                <w:color w:val="000000"/>
                <w:kern w:val="0"/>
                <w:sz w:val="24"/>
                <w:szCs w:val="24"/>
                <w:highlight w:val="none"/>
                <w:u w:val="none"/>
                <w:lang w:val="en-US" w:eastAsia="zh-CN" w:bidi="ar"/>
              </w:rPr>
            </w:pPr>
          </w:p>
          <w:p>
            <w:pPr>
              <w:keepNext w:val="0"/>
              <w:keepLines w:val="0"/>
              <w:widowControl/>
              <w:suppressLineNumbers w:val="0"/>
              <w:jc w:val="center"/>
              <w:textAlignment w:val="center"/>
              <w:rPr>
                <w:rFonts w:ascii="楷体_GB2312" w:hAnsi="等线" w:eastAsia="楷体_GB2312" w:cs="楷体_GB2312"/>
                <w:b/>
                <w:bCs/>
                <w:i w:val="0"/>
                <w:iCs w:val="0"/>
                <w:color w:val="000000"/>
                <w:sz w:val="24"/>
                <w:szCs w:val="24"/>
                <w:highlight w:val="none"/>
                <w:u w:val="none"/>
              </w:rPr>
            </w:pPr>
            <w:r>
              <w:rPr>
                <w:rFonts w:hint="default" w:ascii="楷体_GB2312" w:hAnsi="等线" w:eastAsia="楷体_GB2312" w:cs="楷体_GB2312"/>
                <w:b/>
                <w:bCs/>
                <w:i w:val="0"/>
                <w:iCs w:val="0"/>
                <w:color w:val="000000"/>
                <w:kern w:val="0"/>
                <w:sz w:val="24"/>
                <w:szCs w:val="24"/>
                <w:highlight w:val="none"/>
                <w:u w:val="none"/>
                <w:lang w:val="en-US" w:eastAsia="zh-CN" w:bidi="ar"/>
              </w:rPr>
              <w:t>电控要求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Fonts w:hint="default" w:ascii="Times New Roman" w:hAnsi="Times New Roman" w:eastAsia="等线" w:cs="Times New Roman"/>
                <w:b/>
                <w:bCs/>
                <w:i w:val="0"/>
                <w:iCs w:val="0"/>
                <w:color w:val="000000"/>
                <w:kern w:val="0"/>
                <w:sz w:val="24"/>
                <w:szCs w:val="24"/>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柜体要求</w:t>
            </w:r>
          </w:p>
        </w:tc>
        <w:tc>
          <w:tcPr>
            <w:tcW w:w="11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室内室外；碳钢喷塑、不锈钢304/201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Fonts w:hint="default" w:ascii="Times New Roman" w:hAnsi="Times New Roman" w:eastAsia="等线" w:cs="Times New Roman"/>
                <w:b/>
                <w:bCs/>
                <w:i w:val="0"/>
                <w:iCs w:val="0"/>
                <w:color w:val="000000"/>
                <w:kern w:val="0"/>
                <w:sz w:val="24"/>
                <w:szCs w:val="24"/>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元件品牌</w:t>
            </w:r>
          </w:p>
        </w:tc>
        <w:tc>
          <w:tcPr>
            <w:tcW w:w="11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主要低压电气品牌：正泰；变频器：</w:t>
            </w:r>
            <w:r>
              <w:rPr>
                <w:rStyle w:val="82"/>
                <w:rFonts w:eastAsia="宋体"/>
                <w:highlight w:val="none"/>
                <w:lang w:val="en-US" w:eastAsia="zh-CN" w:bidi="ar"/>
              </w:rPr>
              <w:t>ABB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Fonts w:hint="default" w:ascii="Times New Roman" w:hAnsi="Times New Roman" w:eastAsia="等线" w:cs="Times New Roman"/>
                <w:b/>
                <w:bCs/>
                <w:i w:val="0"/>
                <w:iCs w:val="0"/>
                <w:color w:val="000000"/>
                <w:kern w:val="0"/>
                <w:sz w:val="24"/>
                <w:szCs w:val="24"/>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其它要求</w:t>
            </w:r>
          </w:p>
        </w:tc>
        <w:tc>
          <w:tcPr>
            <w:tcW w:w="11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FF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等线" w:cs="Times New Roman"/>
                <w:b/>
                <w:bCs/>
                <w:i w:val="0"/>
                <w:iCs w:val="0"/>
                <w:color w:val="000000"/>
                <w:sz w:val="24"/>
                <w:szCs w:val="24"/>
                <w:highlight w:val="none"/>
                <w:u w:val="none"/>
              </w:rPr>
            </w:pPr>
          </w:p>
        </w:tc>
        <w:tc>
          <w:tcPr>
            <w:tcW w:w="2648"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FF0000"/>
                <w:sz w:val="24"/>
                <w:szCs w:val="24"/>
                <w:highlight w:val="none"/>
                <w:u w:val="none"/>
              </w:rPr>
            </w:pPr>
          </w:p>
        </w:tc>
        <w:tc>
          <w:tcPr>
            <w:tcW w:w="3818" w:type="dxa"/>
            <w:tcBorders>
              <w:top w:val="single" w:color="000000" w:sz="4" w:space="0"/>
              <w:left w:val="nil"/>
              <w:bottom w:val="single" w:color="000000" w:sz="4" w:space="0"/>
              <w:right w:val="nil"/>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c>
          <w:tcPr>
            <w:tcW w:w="720" w:type="dxa"/>
            <w:tcBorders>
              <w:top w:val="single" w:color="000000" w:sz="4" w:space="0"/>
              <w:left w:val="nil"/>
              <w:bottom w:val="single" w:color="000000" w:sz="4" w:space="0"/>
              <w:right w:val="nil"/>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c>
          <w:tcPr>
            <w:tcW w:w="780" w:type="dxa"/>
            <w:tcBorders>
              <w:top w:val="single" w:color="000000" w:sz="4" w:space="0"/>
              <w:left w:val="nil"/>
              <w:bottom w:val="single" w:color="000000" w:sz="4" w:space="0"/>
              <w:right w:val="nil"/>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c>
          <w:tcPr>
            <w:tcW w:w="6035" w:type="dxa"/>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等线" w:cs="Times New Roman"/>
                <w:i w:val="0"/>
                <w:iCs w:val="0"/>
                <w:color w:val="FF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序号</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设备名称</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设备参数及要求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4"/>
                <w:szCs w:val="24"/>
                <w:highlight w:val="none"/>
                <w:u w:val="none"/>
              </w:rPr>
            </w:pPr>
            <w:r>
              <w:rPr>
                <w:rStyle w:val="83"/>
                <w:rFonts w:hAnsi="Times New Roman"/>
                <w:highlight w:val="none"/>
                <w:lang w:val="en-US" w:eastAsia="zh-CN" w:bidi="ar"/>
              </w:rPr>
              <w:t>数量</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控制要求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一</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固液分离系统：一键启动，开机主轴正转、进水泵、搅拌机启动同时清洗泵循环运行（开2min，停12min）；停机主轴、进水泵、搅拌机停止，清洗泵启动2min后停止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进水泵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主轴</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手动/自动；手动时可正反转。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清洗</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N=0.75kw/220v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二</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2#风机室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鼓风机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N=18.5kw/380v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手动；变频启动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鼓风机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N=37KW/380v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手动；变频启动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集水池提升泵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3</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一#控制柜供电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三#控制柜供电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五#控制柜供电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7</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六#控制柜供电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三</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厌氧污泥回流泵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N=11KW/380v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四</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1#风机室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鼓风机</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N=30KW/380v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七#控制柜供电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八#控制柜供电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等线" w:eastAsia="楷体_GB2312" w:cs="楷体_GB2312"/>
                <w:i w:val="0"/>
                <w:iCs w:val="0"/>
                <w:color w:val="000000"/>
                <w:sz w:val="24"/>
                <w:szCs w:val="24"/>
                <w:highlight w:val="none"/>
                <w:u w:val="none"/>
              </w:rPr>
            </w:pP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五</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叠螺机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进泥泵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清水泵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N=3KW/380v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六</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冲泡泵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回流泵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手动/自动；自动时控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在线监测电源</w:t>
            </w:r>
          </w:p>
        </w:tc>
        <w:tc>
          <w:tcPr>
            <w:tcW w:w="38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6KW/220V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生活区1</w:t>
            </w:r>
          </w:p>
        </w:tc>
        <w:tc>
          <w:tcPr>
            <w:tcW w:w="38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10KW/220V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生活区2</w:t>
            </w:r>
          </w:p>
        </w:tc>
        <w:tc>
          <w:tcPr>
            <w:tcW w:w="38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10KW/220V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Style w:val="84"/>
                <w:rFonts w:hAnsi="Times New Roman"/>
                <w:highlight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七</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中间提升泵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应急提升泵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八</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楷体_GB2312" w:hAnsi="等线" w:eastAsia="楷体_GB2312" w:cs="楷体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N=7.5KW/380v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N=2.2KW/380v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2</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搅拌机3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N=1.1KW/380v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加药泵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N=1.1KW/380v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3</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二沉池排泥泵</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N=4.0KW/380v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九</w:t>
            </w:r>
          </w:p>
        </w:tc>
        <w:tc>
          <w:tcPr>
            <w:tcW w:w="140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生活区电源盒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等线" w:eastAsia="楷体_GB2312" w:cs="楷体_GB2312"/>
                <w:i w:val="0"/>
                <w:iCs w:val="0"/>
                <w:color w:val="000000"/>
                <w:sz w:val="24"/>
                <w:szCs w:val="24"/>
                <w:highlight w:val="none"/>
                <w:u w:val="none"/>
              </w:rPr>
            </w:pPr>
            <w:r>
              <w:rPr>
                <w:rFonts w:hint="default" w:ascii="楷体_GB2312" w:hAnsi="等线" w:eastAsia="楷体_GB2312" w:cs="楷体_GB2312"/>
                <w:i w:val="0"/>
                <w:iCs w:val="0"/>
                <w:color w:val="000000"/>
                <w:kern w:val="0"/>
                <w:sz w:val="24"/>
                <w:szCs w:val="24"/>
                <w:highlight w:val="none"/>
                <w:u w:val="none"/>
                <w:lang w:val="en-US" w:eastAsia="zh-CN" w:bidi="ar"/>
              </w:rPr>
              <w:t>总开关</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10KW/220V</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等线" w:cs="Times New Roman"/>
                <w:i w:val="0"/>
                <w:iCs w:val="0"/>
                <w:color w:val="000000"/>
                <w:kern w:val="0"/>
                <w:sz w:val="24"/>
                <w:szCs w:val="24"/>
                <w:highlight w:val="none"/>
                <w:u w:val="none"/>
                <w:lang w:val="en-US" w:eastAsia="zh-CN" w:bidi="ar"/>
              </w:rPr>
              <w:t>1</w:t>
            </w: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等线" w:eastAsia="楷体_GB2312" w:cs="楷体_GB2312"/>
                <w:i w:val="0"/>
                <w:iCs w:val="0"/>
                <w:color w:val="000000"/>
                <w:sz w:val="24"/>
                <w:szCs w:val="24"/>
                <w:highlight w:val="none"/>
                <w:u w:val="none"/>
              </w:rPr>
            </w:pP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32"/>
                <w:szCs w:val="32"/>
                <w:highlight w:val="none"/>
                <w:u w:val="none"/>
              </w:rPr>
            </w:pPr>
            <w:r>
              <w:rPr>
                <w:rFonts w:hint="default" w:ascii="Times New Roman" w:hAnsi="Times New Roman" w:eastAsia="等线" w:cs="Times New Roman"/>
                <w:b/>
                <w:bCs/>
                <w:i w:val="0"/>
                <w:iCs w:val="0"/>
                <w:color w:val="000000"/>
                <w:kern w:val="0"/>
                <w:sz w:val="32"/>
                <w:szCs w:val="32"/>
                <w:highlight w:val="none"/>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等线" w:eastAsia="楷体_GB2312" w:cs="楷体_GB2312"/>
                <w:i w:val="0"/>
                <w:iCs w:val="0"/>
                <w:color w:val="000000"/>
                <w:sz w:val="24"/>
                <w:szCs w:val="24"/>
                <w:highlight w:val="none"/>
                <w:u w:val="none"/>
              </w:rPr>
            </w:pP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iCs w:val="0"/>
                <w:color w:val="000000"/>
                <w:sz w:val="24"/>
                <w:szCs w:val="24"/>
                <w:highlight w:val="none"/>
                <w:u w:val="none"/>
              </w:rPr>
            </w:pPr>
          </w:p>
        </w:tc>
        <w:tc>
          <w:tcPr>
            <w:tcW w:w="6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4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1、220V三脚插座一个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4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2、220V备用空开一个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4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3、380V备用空开一个</w:t>
            </w:r>
          </w:p>
        </w:tc>
      </w:tr>
    </w:tbl>
    <w:p>
      <w:pPr>
        <w:pStyle w:val="2"/>
        <w:ind w:left="0" w:leftChars="0" w:firstLine="0" w:firstLineChars="0"/>
        <w:rPr>
          <w:highlight w:val="none"/>
          <w:lang w:val="zh-CN"/>
        </w:rPr>
      </w:pPr>
    </w:p>
    <w:p>
      <w:pPr>
        <w:pStyle w:val="2"/>
        <w:ind w:left="0" w:leftChars="0" w:firstLine="0" w:firstLineChars="0"/>
        <w:rPr>
          <w:highlight w:val="none"/>
          <w:lang w:val="zh-CN"/>
        </w:rPr>
      </w:pPr>
    </w:p>
    <w:p>
      <w:pPr>
        <w:pStyle w:val="2"/>
        <w:ind w:left="0" w:leftChars="0" w:firstLine="0" w:firstLineChars="0"/>
        <w:rPr>
          <w:rFonts w:hint="eastAsia"/>
          <w:b/>
          <w:bCs/>
          <w:highlight w:val="none"/>
          <w:lang w:val="zh-CN"/>
        </w:rPr>
      </w:pPr>
      <w:r>
        <w:rPr>
          <w:rFonts w:hint="eastAsia"/>
          <w:b/>
          <w:bCs/>
          <w:highlight w:val="none"/>
          <w:lang w:val="zh-CN"/>
        </w:rPr>
        <w:t>附件二：</w:t>
      </w:r>
    </w:p>
    <w:tbl>
      <w:tblPr>
        <w:tblStyle w:val="36"/>
        <w:tblW w:w="11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1995"/>
        <w:gridCol w:w="5168"/>
        <w:gridCol w:w="682"/>
        <w:gridCol w:w="703"/>
        <w:gridCol w:w="1096"/>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名称</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编号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货期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固液分离系统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风机室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厌氧污泥回流泵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1#风机室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叠螺机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冲泡、回流泵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提升泵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搅拌机+加药+排泥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控制柜9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生活区电源盒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1</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固液分离系统控制柜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5.5-8A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JR36-20 4.5-7.2A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1.6-2.5A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旋钮开关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NP2-BD33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时间继电器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DH48S-S</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国优</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电磁继电器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NXJ-AC220V-4Z1（D）+配用插座/RS-NXJ-4Z/C1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时间继电器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JS14P-24 990s/99min AC/DC100V～240V</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700*600*300室外不锈钢双门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2</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风机室控制柜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NXM-400S/3300 400A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NXM-160S/3300 160A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D32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3P D100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1.6-2.5A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电磁继电器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NXJ-AC220V-2Z1（D）+配用插座/RS-NXJ-2Z/C1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变频器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ACS510-01-038A-4+ACS-CP-C基本控制盘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ABB</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变频器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ACS510-01-072A-4+ACS-CP-C基本控制盘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ABB</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2200*800*600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3</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厌氧污泥回流泵控制柜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NXC-32 220V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17-25A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600*500*300室外不锈钢双门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4</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1#风机室控制柜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NXM-250S/3300 225A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3P D80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1.6-2.5A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电磁继电器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NXJ-AC220V-2Z1（D）+配用插座/RS-NXJ-2Z/C1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变频器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ACS510-01-060A-4+ACS-CP-C基本控制盘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ABB</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2200*800*600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5</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叠螺机控制柜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5.5-8A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500*400*300室外不锈钢双门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6</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冲泡、回流泵控制柜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交流塑壳断路器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NXM-125S/3300 125A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2P D50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2P D80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4-6A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旋钮开关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NP2-BD33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时间继电器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DH48S-S</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国优</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700*600*300室外不锈钢双门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7</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提升泵控制柜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4-6A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500*400*300室外不锈钢双门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8</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搅拌机+加药+排泥控制柜</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D25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3P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NXB-63 1P C10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NXC-09 220V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NXC-12 220V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NXC-25 220V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2.5-4A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4-6A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7-10A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热过载继电器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NXR-25 12-18A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ND16-22D/2 AC/DC 220V 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NP2-BW3361 220V 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NP2-BA42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熔断器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RT28+6A熔芯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1200*700*375室外不锈钢双门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9</w:t>
            </w:r>
          </w:p>
        </w:tc>
        <w:tc>
          <w:tcPr>
            <w:tcW w:w="8563"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32"/>
                <w:szCs w:val="32"/>
                <w:highlight w:val="none"/>
                <w:u w:val="none"/>
              </w:rPr>
            </w:pPr>
            <w:r>
              <w:rPr>
                <w:rFonts w:hint="default" w:ascii="等线 Light" w:hAnsi="等线 Light" w:eastAsia="等线 Light" w:cs="等线 Light"/>
                <w:b/>
                <w:bCs/>
                <w:i w:val="0"/>
                <w:iCs w:val="0"/>
                <w:color w:val="000000"/>
                <w:kern w:val="0"/>
                <w:sz w:val="32"/>
                <w:szCs w:val="32"/>
                <w:highlight w:val="none"/>
                <w:u w:val="none"/>
                <w:lang w:val="en-US" w:eastAsia="zh-CN" w:bidi="ar"/>
              </w:rPr>
              <w:t>生活区电源盒控制箱</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等线 Light" w:hAnsi="等线 Light" w:eastAsia="等线 Light" w:cs="等线 Light"/>
                <w:b/>
                <w:bCs/>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规格</w:t>
            </w:r>
          </w:p>
        </w:tc>
        <w:tc>
          <w:tcPr>
            <w:tcW w:w="6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厂商</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等线 Light" w:hAnsi="等线 Light" w:eastAsia="等线 Light" w:cs="等线 Light"/>
                <w:b/>
                <w:bCs/>
                <w:i w:val="0"/>
                <w:iCs w:val="0"/>
                <w:color w:val="000000"/>
                <w:sz w:val="22"/>
                <w:szCs w:val="22"/>
                <w:highlight w:val="none"/>
                <w:u w:val="none"/>
              </w:rPr>
            </w:pPr>
            <w:r>
              <w:rPr>
                <w:rFonts w:hint="default" w:ascii="等线 Light" w:hAnsi="等线 Light" w:eastAsia="等线 Light" w:cs="等线 Light"/>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交流微型断路器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NXB-125 2P D80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柜体（高*宽*厚）</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400*500*200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辅材</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left"/>
              <w:rPr>
                <w:rFonts w:hint="default" w:ascii="等线" w:hAnsi="等线" w:eastAsia="等线" w:cs="等线"/>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highlight w:val="none"/>
                <w:u w:val="none"/>
              </w:rPr>
            </w:pPr>
            <w:r>
              <w:rPr>
                <w:rFonts w:hint="default" w:ascii="等线" w:hAnsi="等线" w:eastAsia="等线" w:cs="等线"/>
                <w:i w:val="0"/>
                <w:iCs w:val="0"/>
                <w:color w:val="000000"/>
                <w:kern w:val="0"/>
                <w:sz w:val="22"/>
                <w:szCs w:val="22"/>
                <w:highlight w:val="none"/>
                <w:u w:val="none"/>
                <w:lang w:val="en-US" w:eastAsia="zh-CN" w:bidi="ar"/>
              </w:rPr>
              <w:t>昊楚</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成套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Light" w:hAnsi="等线 Light" w:eastAsia="等线 Light" w:cs="等线 Light"/>
                <w:i w:val="0"/>
                <w:iCs w:val="0"/>
                <w:color w:val="000000"/>
                <w:sz w:val="22"/>
                <w:szCs w:val="22"/>
                <w:highlight w:val="none"/>
                <w:u w:val="none"/>
              </w:rPr>
            </w:pPr>
            <w:r>
              <w:rPr>
                <w:rFonts w:hint="default" w:ascii="等线 Light" w:hAnsi="等线 Light" w:eastAsia="等线 Light" w:cs="等线 Light"/>
                <w:i w:val="0"/>
                <w:iCs w:val="0"/>
                <w:color w:val="000000"/>
                <w:kern w:val="0"/>
                <w:sz w:val="22"/>
                <w:szCs w:val="22"/>
                <w:highlight w:val="none"/>
                <w:u w:val="none"/>
                <w:lang w:val="en-US" w:eastAsia="zh-CN" w:bidi="ar"/>
              </w:rPr>
              <w:t>昊楚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等线 Light" w:hAnsi="等线 Light" w:eastAsia="等线 Light" w:cs="等线 Light"/>
                <w:i w:val="0"/>
                <w:iCs w:val="0"/>
                <w:color w:val="000000"/>
                <w:sz w:val="22"/>
                <w:szCs w:val="22"/>
                <w:highlight w:val="none"/>
                <w:u w:val="none"/>
              </w:rPr>
            </w:pPr>
          </w:p>
        </w:tc>
      </w:tr>
    </w:tbl>
    <w:p>
      <w:pPr>
        <w:pStyle w:val="2"/>
        <w:ind w:left="0" w:leftChars="0" w:firstLine="0" w:firstLineChars="0"/>
        <w:rPr>
          <w:rFonts w:hint="eastAsia"/>
          <w:b/>
          <w:bCs/>
          <w:highlight w:val="none"/>
          <w:lang w:val="en-US" w:eastAsia="zh-CN"/>
        </w:rPr>
      </w:pPr>
    </w:p>
    <w:sectPr>
      <w:pgSz w:w="16838" w:h="11906" w:orient="landscape"/>
      <w:pgMar w:top="1418" w:right="851" w:bottom="1133" w:left="993" w:header="709" w:footer="1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39"/>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湖南新五丰股份有限公司</w:t>
    </w:r>
    <w:r>
      <w:rPr>
        <w:rFonts w:hint="eastAsia" w:ascii="宋体" w:hAnsi="宋体" w:cs="宋体"/>
        <w:color w:val="000000"/>
        <w:sz w:val="20"/>
        <w:szCs w:val="20"/>
        <w:u w:val="single"/>
        <w:lang w:eastAsia="zh-CN"/>
      </w:rPr>
      <w:t>永安分公司污水处理厂电路改造工程项目</w:t>
    </w:r>
    <w:r>
      <w:rPr>
        <w:rFonts w:hint="eastAsia" w:ascii="宋体" w:hAnsi="宋体" w:cs="宋体"/>
        <w:color w:val="000000"/>
        <w:sz w:val="20"/>
        <w:szCs w:val="20"/>
        <w:u w:val="single"/>
      </w:rPr>
      <w:t xml:space="preserve">                       谈判邀请文件</w:t>
    </w:r>
    <w:r>
      <w:rPr>
        <w:rFonts w:hint="eastAsia" w:ascii="宋体" w:hAnsi="宋体" w:cs="宋体"/>
        <w:color w:val="00000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18"/>
        <w:szCs w:val="18"/>
        <w:u w:val="single"/>
      </w:rPr>
      <w:t>湖南新五丰股份有限公司</w:t>
    </w:r>
    <w:r>
      <w:rPr>
        <w:rFonts w:hint="eastAsia" w:ascii="宋体" w:hAnsi="宋体" w:cs="宋体"/>
        <w:color w:val="000000"/>
        <w:sz w:val="18"/>
        <w:szCs w:val="18"/>
        <w:u w:val="single"/>
        <w:lang w:eastAsia="zh-CN"/>
      </w:rPr>
      <w:t>永安分公司污水处理厂电路改造工程项目</w:t>
    </w:r>
    <w:r>
      <w:rPr>
        <w:rFonts w:hint="eastAsia" w:ascii="宋体" w:hAnsi="宋体" w:cs="宋体"/>
        <w:color w:val="000000"/>
        <w:sz w:val="18"/>
        <w:szCs w:val="18"/>
        <w:u w:val="single"/>
      </w:rPr>
      <w:t xml:space="preserve">  </w:t>
    </w:r>
    <w:r>
      <w:rPr>
        <w:rFonts w:hint="eastAsia" w:ascii="宋体" w:hAnsi="宋体" w:cs="宋体"/>
        <w:color w:val="000000"/>
        <w:sz w:val="18"/>
        <w:szCs w:val="18"/>
        <w:u w:val="single"/>
        <w:lang w:val="en-US" w:eastAsia="zh-CN"/>
      </w:rPr>
      <w:t xml:space="preserve">                               </w:t>
    </w:r>
    <w:r>
      <w:rPr>
        <w:rFonts w:hint="eastAsia" w:ascii="宋体" w:hAnsi="宋体" w:cs="宋体"/>
        <w:color w:val="000000"/>
        <w:sz w:val="18"/>
        <w:szCs w:val="18"/>
        <w:u w:val="single"/>
        <w:lang w:eastAsia="zh-CN"/>
      </w:rPr>
      <w:t>谈判邀请文件</w:t>
    </w: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5">
    <w:nsid w:val="00000018"/>
    <w:multiLevelType w:val="multilevel"/>
    <w:tmpl w:val="000000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1CB1FDD5"/>
    <w:multiLevelType w:val="singleLevel"/>
    <w:tmpl w:val="1CB1FDD5"/>
    <w:lvl w:ilvl="0" w:tentative="0">
      <w:start w:val="4"/>
      <w:numFmt w:val="decimal"/>
      <w:suff w:val="space"/>
      <w:lvlText w:val="%1."/>
      <w:lvlJc w:val="left"/>
      <w:pPr>
        <w:ind w:left="420" w:firstLine="0"/>
      </w:pPr>
    </w:lvl>
  </w:abstractNum>
  <w:abstractNum w:abstractNumId="9">
    <w:nsid w:val="1F40AC5C"/>
    <w:multiLevelType w:val="singleLevel"/>
    <w:tmpl w:val="1F40AC5C"/>
    <w:lvl w:ilvl="0" w:tentative="0">
      <w:start w:val="7"/>
      <w:numFmt w:val="chineseCounting"/>
      <w:suff w:val="space"/>
      <w:lvlText w:val="第%1章"/>
      <w:lvlJc w:val="left"/>
      <w:rPr>
        <w:rFonts w:hint="eastAsia"/>
      </w:rPr>
    </w:lvl>
  </w:abstractNum>
  <w:abstractNum w:abstractNumId="10">
    <w:nsid w:val="552711DD"/>
    <w:multiLevelType w:val="singleLevel"/>
    <w:tmpl w:val="552711DD"/>
    <w:lvl w:ilvl="0" w:tentative="0">
      <w:start w:val="5"/>
      <w:numFmt w:val="decimal"/>
      <w:suff w:val="space"/>
      <w:lvlText w:val="%1."/>
      <w:lvlJc w:val="left"/>
    </w:lvl>
  </w:abstractNum>
  <w:num w:numId="1">
    <w:abstractNumId w:val="4"/>
  </w:num>
  <w:num w:numId="2">
    <w:abstractNumId w:val="8"/>
  </w:num>
  <w:num w:numId="3">
    <w:abstractNumId w:val="10"/>
  </w:num>
  <w:num w:numId="4">
    <w:abstractNumId w:val="7"/>
  </w:num>
  <w:num w:numId="5">
    <w:abstractNumId w:val="6"/>
  </w:num>
  <w:num w:numId="6">
    <w:abstractNumId w:val="5"/>
  </w:num>
  <w:num w:numId="7">
    <w:abstractNumId w:val="2"/>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5214"/>
    <w:rsid w:val="00047597"/>
    <w:rsid w:val="000500A6"/>
    <w:rsid w:val="00052C95"/>
    <w:rsid w:val="000530F1"/>
    <w:rsid w:val="00054571"/>
    <w:rsid w:val="000547C2"/>
    <w:rsid w:val="0005485F"/>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6C94"/>
    <w:rsid w:val="000A708E"/>
    <w:rsid w:val="000A76BC"/>
    <w:rsid w:val="000A78C1"/>
    <w:rsid w:val="000B26D1"/>
    <w:rsid w:val="000B3648"/>
    <w:rsid w:val="000B4137"/>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3564"/>
    <w:rsid w:val="001758BA"/>
    <w:rsid w:val="00176CB9"/>
    <w:rsid w:val="00177343"/>
    <w:rsid w:val="00177C1D"/>
    <w:rsid w:val="00180310"/>
    <w:rsid w:val="00180704"/>
    <w:rsid w:val="001815BC"/>
    <w:rsid w:val="00181D9B"/>
    <w:rsid w:val="00182158"/>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A34"/>
    <w:rsid w:val="00203D1A"/>
    <w:rsid w:val="0020595B"/>
    <w:rsid w:val="00205E11"/>
    <w:rsid w:val="00211BC3"/>
    <w:rsid w:val="00213758"/>
    <w:rsid w:val="002137D1"/>
    <w:rsid w:val="00213F2D"/>
    <w:rsid w:val="0021486A"/>
    <w:rsid w:val="00217BEF"/>
    <w:rsid w:val="002211C9"/>
    <w:rsid w:val="00221A96"/>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0A8"/>
    <w:rsid w:val="002D0591"/>
    <w:rsid w:val="002D1429"/>
    <w:rsid w:val="002D2F0D"/>
    <w:rsid w:val="002D429E"/>
    <w:rsid w:val="002D5BA5"/>
    <w:rsid w:val="002D64FA"/>
    <w:rsid w:val="002D76A5"/>
    <w:rsid w:val="002D795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6F10"/>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169"/>
    <w:rsid w:val="0033158C"/>
    <w:rsid w:val="00332C30"/>
    <w:rsid w:val="003350AE"/>
    <w:rsid w:val="00335A5D"/>
    <w:rsid w:val="00336533"/>
    <w:rsid w:val="003367C7"/>
    <w:rsid w:val="00337503"/>
    <w:rsid w:val="00340156"/>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ABF"/>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6C93"/>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0BA2"/>
    <w:rsid w:val="00401862"/>
    <w:rsid w:val="00402677"/>
    <w:rsid w:val="00404ACA"/>
    <w:rsid w:val="00405D5C"/>
    <w:rsid w:val="004069EF"/>
    <w:rsid w:val="00407FF4"/>
    <w:rsid w:val="004102C0"/>
    <w:rsid w:val="004109C1"/>
    <w:rsid w:val="004112FD"/>
    <w:rsid w:val="004169A1"/>
    <w:rsid w:val="00417BE1"/>
    <w:rsid w:val="00417CE8"/>
    <w:rsid w:val="0042093E"/>
    <w:rsid w:val="00420A26"/>
    <w:rsid w:val="004257AC"/>
    <w:rsid w:val="00426F42"/>
    <w:rsid w:val="00427660"/>
    <w:rsid w:val="00427CD0"/>
    <w:rsid w:val="00432F78"/>
    <w:rsid w:val="0043423A"/>
    <w:rsid w:val="0043750B"/>
    <w:rsid w:val="00437C84"/>
    <w:rsid w:val="00437D3E"/>
    <w:rsid w:val="00437FCB"/>
    <w:rsid w:val="004416DC"/>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1998"/>
    <w:rsid w:val="004E3314"/>
    <w:rsid w:val="004E5867"/>
    <w:rsid w:val="004E7BBD"/>
    <w:rsid w:val="004E7C4B"/>
    <w:rsid w:val="004F01E7"/>
    <w:rsid w:val="004F11F3"/>
    <w:rsid w:val="004F1872"/>
    <w:rsid w:val="004F3677"/>
    <w:rsid w:val="004F3E07"/>
    <w:rsid w:val="004F4AE4"/>
    <w:rsid w:val="004F4E8B"/>
    <w:rsid w:val="00502274"/>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2964"/>
    <w:rsid w:val="005329CD"/>
    <w:rsid w:val="00534B69"/>
    <w:rsid w:val="00534C2B"/>
    <w:rsid w:val="00534D07"/>
    <w:rsid w:val="0053545A"/>
    <w:rsid w:val="00536088"/>
    <w:rsid w:val="00537BF7"/>
    <w:rsid w:val="00537E11"/>
    <w:rsid w:val="00540886"/>
    <w:rsid w:val="00541BB1"/>
    <w:rsid w:val="00541FD7"/>
    <w:rsid w:val="0054221F"/>
    <w:rsid w:val="00542B4E"/>
    <w:rsid w:val="00543DE4"/>
    <w:rsid w:val="00546119"/>
    <w:rsid w:val="00547CF3"/>
    <w:rsid w:val="00547EE9"/>
    <w:rsid w:val="00547F29"/>
    <w:rsid w:val="005500F9"/>
    <w:rsid w:val="005522B9"/>
    <w:rsid w:val="00553C51"/>
    <w:rsid w:val="00553D93"/>
    <w:rsid w:val="00553E09"/>
    <w:rsid w:val="005558C0"/>
    <w:rsid w:val="00556AA3"/>
    <w:rsid w:val="005579C3"/>
    <w:rsid w:val="00560075"/>
    <w:rsid w:val="0056087B"/>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10E3"/>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3D56"/>
    <w:rsid w:val="005F45A2"/>
    <w:rsid w:val="005F5565"/>
    <w:rsid w:val="005F5AD6"/>
    <w:rsid w:val="005F5D5B"/>
    <w:rsid w:val="005F7287"/>
    <w:rsid w:val="005F74CF"/>
    <w:rsid w:val="00603F1C"/>
    <w:rsid w:val="00604176"/>
    <w:rsid w:val="00605343"/>
    <w:rsid w:val="00606F9E"/>
    <w:rsid w:val="00610E95"/>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0BAD"/>
    <w:rsid w:val="00631369"/>
    <w:rsid w:val="006316D9"/>
    <w:rsid w:val="006321B3"/>
    <w:rsid w:val="00632EE3"/>
    <w:rsid w:val="00633A0D"/>
    <w:rsid w:val="006340E4"/>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065"/>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95E85"/>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401"/>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4110"/>
    <w:rsid w:val="00754AA4"/>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37A3"/>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36"/>
    <w:rsid w:val="007E4794"/>
    <w:rsid w:val="007E5AF3"/>
    <w:rsid w:val="007F361C"/>
    <w:rsid w:val="007F4B5F"/>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6F11"/>
    <w:rsid w:val="00927EAE"/>
    <w:rsid w:val="00930ED0"/>
    <w:rsid w:val="00932DB2"/>
    <w:rsid w:val="00932DD2"/>
    <w:rsid w:val="00933773"/>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B68"/>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099E"/>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6FB9"/>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0FE2"/>
    <w:rsid w:val="00A217B2"/>
    <w:rsid w:val="00A21D62"/>
    <w:rsid w:val="00A21E89"/>
    <w:rsid w:val="00A236E8"/>
    <w:rsid w:val="00A23E14"/>
    <w:rsid w:val="00A2436A"/>
    <w:rsid w:val="00A245AC"/>
    <w:rsid w:val="00A27DD3"/>
    <w:rsid w:val="00A30338"/>
    <w:rsid w:val="00A3121A"/>
    <w:rsid w:val="00A31FA6"/>
    <w:rsid w:val="00A34673"/>
    <w:rsid w:val="00A40167"/>
    <w:rsid w:val="00A41D45"/>
    <w:rsid w:val="00A46F9E"/>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23A1"/>
    <w:rsid w:val="00AD3699"/>
    <w:rsid w:val="00AD41FB"/>
    <w:rsid w:val="00AD44D2"/>
    <w:rsid w:val="00AD4A9C"/>
    <w:rsid w:val="00AE3F69"/>
    <w:rsid w:val="00AE5B03"/>
    <w:rsid w:val="00AE5CBC"/>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77F"/>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57FCE"/>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47C4"/>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2D"/>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050"/>
    <w:rsid w:val="00DC4D0B"/>
    <w:rsid w:val="00DC6121"/>
    <w:rsid w:val="00DC7E3E"/>
    <w:rsid w:val="00DD000C"/>
    <w:rsid w:val="00DD07FA"/>
    <w:rsid w:val="00DD0E92"/>
    <w:rsid w:val="00DD28AA"/>
    <w:rsid w:val="00DD40A8"/>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1E65"/>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1E72"/>
    <w:rsid w:val="00F332DA"/>
    <w:rsid w:val="00F341C4"/>
    <w:rsid w:val="00F3484B"/>
    <w:rsid w:val="00F3759B"/>
    <w:rsid w:val="00F37C88"/>
    <w:rsid w:val="00F37CB2"/>
    <w:rsid w:val="00F37F2E"/>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308"/>
    <w:rsid w:val="00F979FB"/>
    <w:rsid w:val="00FA0A41"/>
    <w:rsid w:val="00FA23FE"/>
    <w:rsid w:val="00FA32F3"/>
    <w:rsid w:val="00FA3A4E"/>
    <w:rsid w:val="00FA3DC9"/>
    <w:rsid w:val="00FA4C82"/>
    <w:rsid w:val="00FA59FB"/>
    <w:rsid w:val="00FA5BE4"/>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CD4145"/>
    <w:rsid w:val="023E09F5"/>
    <w:rsid w:val="026929FF"/>
    <w:rsid w:val="02B353FD"/>
    <w:rsid w:val="02D07875"/>
    <w:rsid w:val="02FF5920"/>
    <w:rsid w:val="0314419D"/>
    <w:rsid w:val="031650D4"/>
    <w:rsid w:val="0334302D"/>
    <w:rsid w:val="03394EB3"/>
    <w:rsid w:val="03A27284"/>
    <w:rsid w:val="03A3674F"/>
    <w:rsid w:val="03C255BA"/>
    <w:rsid w:val="03C4523A"/>
    <w:rsid w:val="03DF6104"/>
    <w:rsid w:val="04452310"/>
    <w:rsid w:val="04457319"/>
    <w:rsid w:val="04862D7A"/>
    <w:rsid w:val="04867048"/>
    <w:rsid w:val="04A43489"/>
    <w:rsid w:val="04DD3789"/>
    <w:rsid w:val="050D757A"/>
    <w:rsid w:val="055424CE"/>
    <w:rsid w:val="0563473F"/>
    <w:rsid w:val="0565324E"/>
    <w:rsid w:val="05B5126E"/>
    <w:rsid w:val="0623601E"/>
    <w:rsid w:val="06690E32"/>
    <w:rsid w:val="06CD7E01"/>
    <w:rsid w:val="06E573E1"/>
    <w:rsid w:val="07236830"/>
    <w:rsid w:val="07534192"/>
    <w:rsid w:val="077E0859"/>
    <w:rsid w:val="079F680F"/>
    <w:rsid w:val="07ED5301"/>
    <w:rsid w:val="0814034C"/>
    <w:rsid w:val="085A736D"/>
    <w:rsid w:val="086C26E0"/>
    <w:rsid w:val="08822685"/>
    <w:rsid w:val="090048DC"/>
    <w:rsid w:val="09126822"/>
    <w:rsid w:val="09A76BE4"/>
    <w:rsid w:val="0A765FB8"/>
    <w:rsid w:val="0AAC0A11"/>
    <w:rsid w:val="0AC24DB3"/>
    <w:rsid w:val="0B2473D6"/>
    <w:rsid w:val="0B772977"/>
    <w:rsid w:val="0BBA0BCE"/>
    <w:rsid w:val="0BC76BDF"/>
    <w:rsid w:val="0C065EBC"/>
    <w:rsid w:val="0C1625AC"/>
    <w:rsid w:val="0C3D5924"/>
    <w:rsid w:val="0C5F0057"/>
    <w:rsid w:val="0C883502"/>
    <w:rsid w:val="0CA831DB"/>
    <w:rsid w:val="0CE0512D"/>
    <w:rsid w:val="0D0F4ED6"/>
    <w:rsid w:val="0D173089"/>
    <w:rsid w:val="0D360F65"/>
    <w:rsid w:val="0D5E6ABD"/>
    <w:rsid w:val="0DBA2892"/>
    <w:rsid w:val="0DBE2656"/>
    <w:rsid w:val="0E09431F"/>
    <w:rsid w:val="0E0E7B56"/>
    <w:rsid w:val="0E604BC6"/>
    <w:rsid w:val="0E704390"/>
    <w:rsid w:val="0E7D3C55"/>
    <w:rsid w:val="0E910DDF"/>
    <w:rsid w:val="0F0744BE"/>
    <w:rsid w:val="0F2A282F"/>
    <w:rsid w:val="0F2B146F"/>
    <w:rsid w:val="0F2D7BB3"/>
    <w:rsid w:val="10F1556B"/>
    <w:rsid w:val="1108765E"/>
    <w:rsid w:val="114710E3"/>
    <w:rsid w:val="118B5AD6"/>
    <w:rsid w:val="11951A44"/>
    <w:rsid w:val="11A01064"/>
    <w:rsid w:val="11A5042D"/>
    <w:rsid w:val="11D70154"/>
    <w:rsid w:val="11EC4876"/>
    <w:rsid w:val="11FB728D"/>
    <w:rsid w:val="11FE2376"/>
    <w:rsid w:val="12180BBD"/>
    <w:rsid w:val="128E407F"/>
    <w:rsid w:val="129028C0"/>
    <w:rsid w:val="12E73D44"/>
    <w:rsid w:val="13515442"/>
    <w:rsid w:val="135350C1"/>
    <w:rsid w:val="13B43E61"/>
    <w:rsid w:val="13DD454D"/>
    <w:rsid w:val="14214815"/>
    <w:rsid w:val="144E2717"/>
    <w:rsid w:val="1457366A"/>
    <w:rsid w:val="14AC74B1"/>
    <w:rsid w:val="14C658D5"/>
    <w:rsid w:val="14D17A41"/>
    <w:rsid w:val="14E32355"/>
    <w:rsid w:val="14E37CC3"/>
    <w:rsid w:val="14E44281"/>
    <w:rsid w:val="14FE7606"/>
    <w:rsid w:val="15044A88"/>
    <w:rsid w:val="150F2E19"/>
    <w:rsid w:val="151927C8"/>
    <w:rsid w:val="15460D75"/>
    <w:rsid w:val="15BE0B63"/>
    <w:rsid w:val="161C08F7"/>
    <w:rsid w:val="162866B2"/>
    <w:rsid w:val="163A2FC4"/>
    <w:rsid w:val="16550F32"/>
    <w:rsid w:val="16723AE7"/>
    <w:rsid w:val="16815279"/>
    <w:rsid w:val="16A369AC"/>
    <w:rsid w:val="16D011A7"/>
    <w:rsid w:val="16F72A49"/>
    <w:rsid w:val="1702234F"/>
    <w:rsid w:val="17244A82"/>
    <w:rsid w:val="1767428D"/>
    <w:rsid w:val="176F60CD"/>
    <w:rsid w:val="17707100"/>
    <w:rsid w:val="177B7ACF"/>
    <w:rsid w:val="178570A5"/>
    <w:rsid w:val="17B50C3A"/>
    <w:rsid w:val="18292378"/>
    <w:rsid w:val="182B2EF1"/>
    <w:rsid w:val="182C1E75"/>
    <w:rsid w:val="18A14C19"/>
    <w:rsid w:val="18E0605D"/>
    <w:rsid w:val="18EB43EE"/>
    <w:rsid w:val="190C23A4"/>
    <w:rsid w:val="192C06DB"/>
    <w:rsid w:val="194107DC"/>
    <w:rsid w:val="198310E9"/>
    <w:rsid w:val="198537FD"/>
    <w:rsid w:val="198C05B1"/>
    <w:rsid w:val="199071E3"/>
    <w:rsid w:val="19A60F49"/>
    <w:rsid w:val="19AF5431"/>
    <w:rsid w:val="19B0247B"/>
    <w:rsid w:val="1ABA4263"/>
    <w:rsid w:val="1AE6196C"/>
    <w:rsid w:val="1B273A57"/>
    <w:rsid w:val="1B6B6A0B"/>
    <w:rsid w:val="1B822DAD"/>
    <w:rsid w:val="1BC269ED"/>
    <w:rsid w:val="1BD73B3C"/>
    <w:rsid w:val="1C095EC5"/>
    <w:rsid w:val="1C2361BA"/>
    <w:rsid w:val="1C3A255C"/>
    <w:rsid w:val="1C912F6B"/>
    <w:rsid w:val="1C9571A6"/>
    <w:rsid w:val="1CE45FB3"/>
    <w:rsid w:val="1D6874A0"/>
    <w:rsid w:val="1D6D2CE9"/>
    <w:rsid w:val="1D776A3D"/>
    <w:rsid w:val="1DA13A27"/>
    <w:rsid w:val="1DBD7BF8"/>
    <w:rsid w:val="1DCB5271"/>
    <w:rsid w:val="1DCC746F"/>
    <w:rsid w:val="1DE13B91"/>
    <w:rsid w:val="1DF60CD6"/>
    <w:rsid w:val="1E264F9C"/>
    <w:rsid w:val="1E422931"/>
    <w:rsid w:val="1E472F2F"/>
    <w:rsid w:val="1EC21DA9"/>
    <w:rsid w:val="1EDF44F4"/>
    <w:rsid w:val="1F7E26B9"/>
    <w:rsid w:val="1F811C64"/>
    <w:rsid w:val="1FA84E08"/>
    <w:rsid w:val="1FDF1459"/>
    <w:rsid w:val="20533AAA"/>
    <w:rsid w:val="206D21B4"/>
    <w:rsid w:val="20B455E0"/>
    <w:rsid w:val="20C6516C"/>
    <w:rsid w:val="20DD152A"/>
    <w:rsid w:val="20FB17E4"/>
    <w:rsid w:val="21243CEE"/>
    <w:rsid w:val="216364D8"/>
    <w:rsid w:val="217B46FD"/>
    <w:rsid w:val="21C76D7B"/>
    <w:rsid w:val="21FE1453"/>
    <w:rsid w:val="222A7289"/>
    <w:rsid w:val="22551E62"/>
    <w:rsid w:val="22754915"/>
    <w:rsid w:val="228B3C96"/>
    <w:rsid w:val="228C453A"/>
    <w:rsid w:val="22D66F38"/>
    <w:rsid w:val="22DA08CC"/>
    <w:rsid w:val="23280B16"/>
    <w:rsid w:val="23A52A88"/>
    <w:rsid w:val="242A5B65"/>
    <w:rsid w:val="24A948B4"/>
    <w:rsid w:val="24D40F7C"/>
    <w:rsid w:val="24D50BFC"/>
    <w:rsid w:val="24E06F8D"/>
    <w:rsid w:val="24EB0BA1"/>
    <w:rsid w:val="25085CEE"/>
    <w:rsid w:val="25462407"/>
    <w:rsid w:val="2616700A"/>
    <w:rsid w:val="26675B0F"/>
    <w:rsid w:val="269221D6"/>
    <w:rsid w:val="26A768F9"/>
    <w:rsid w:val="26B44315"/>
    <w:rsid w:val="272A364F"/>
    <w:rsid w:val="27355263"/>
    <w:rsid w:val="27356A3A"/>
    <w:rsid w:val="27373841"/>
    <w:rsid w:val="273878C1"/>
    <w:rsid w:val="27567996"/>
    <w:rsid w:val="27B80FBD"/>
    <w:rsid w:val="27D74A6C"/>
    <w:rsid w:val="282E547B"/>
    <w:rsid w:val="283B0946"/>
    <w:rsid w:val="283C22D6"/>
    <w:rsid w:val="288E4D9E"/>
    <w:rsid w:val="28B45C08"/>
    <w:rsid w:val="28EA3406"/>
    <w:rsid w:val="28FE7255"/>
    <w:rsid w:val="293E52B8"/>
    <w:rsid w:val="295E35EE"/>
    <w:rsid w:val="29EC66D5"/>
    <w:rsid w:val="2A181D96"/>
    <w:rsid w:val="2A401481"/>
    <w:rsid w:val="2AAB7F12"/>
    <w:rsid w:val="2AD91557"/>
    <w:rsid w:val="2AFA300F"/>
    <w:rsid w:val="2B3012EB"/>
    <w:rsid w:val="2B3C1F17"/>
    <w:rsid w:val="2B4327FE"/>
    <w:rsid w:val="2B9F6B4D"/>
    <w:rsid w:val="2BCD2EEC"/>
    <w:rsid w:val="2CA61F2E"/>
    <w:rsid w:val="2CE45D6E"/>
    <w:rsid w:val="2CF569B4"/>
    <w:rsid w:val="2CF808D7"/>
    <w:rsid w:val="2D510951"/>
    <w:rsid w:val="2D5A7676"/>
    <w:rsid w:val="2DA2135E"/>
    <w:rsid w:val="2DFD2703"/>
    <w:rsid w:val="2E070A94"/>
    <w:rsid w:val="2E1E4E36"/>
    <w:rsid w:val="2E2B0C67"/>
    <w:rsid w:val="2E2D1237"/>
    <w:rsid w:val="2EAB4607"/>
    <w:rsid w:val="2EB61B31"/>
    <w:rsid w:val="2F2D4FF3"/>
    <w:rsid w:val="2F2E1544"/>
    <w:rsid w:val="2F5F02F8"/>
    <w:rsid w:val="2F6E12E0"/>
    <w:rsid w:val="2FB85FCC"/>
    <w:rsid w:val="30080316"/>
    <w:rsid w:val="30221C48"/>
    <w:rsid w:val="30260A8E"/>
    <w:rsid w:val="30324BAE"/>
    <w:rsid w:val="30395C43"/>
    <w:rsid w:val="306E7FE2"/>
    <w:rsid w:val="310B4584"/>
    <w:rsid w:val="31586B93"/>
    <w:rsid w:val="31614F93"/>
    <w:rsid w:val="31637E3F"/>
    <w:rsid w:val="318A1295"/>
    <w:rsid w:val="3198766B"/>
    <w:rsid w:val="31C3321F"/>
    <w:rsid w:val="325B6747"/>
    <w:rsid w:val="328714F2"/>
    <w:rsid w:val="32AE3872"/>
    <w:rsid w:val="32E80292"/>
    <w:rsid w:val="32EE4ECA"/>
    <w:rsid w:val="330865C8"/>
    <w:rsid w:val="33723946"/>
    <w:rsid w:val="3424001A"/>
    <w:rsid w:val="343C609A"/>
    <w:rsid w:val="34650A83"/>
    <w:rsid w:val="34B84EA3"/>
    <w:rsid w:val="34CA431E"/>
    <w:rsid w:val="34D542B6"/>
    <w:rsid w:val="35166734"/>
    <w:rsid w:val="356B4DED"/>
    <w:rsid w:val="35763AEC"/>
    <w:rsid w:val="36AF5145"/>
    <w:rsid w:val="36B934D6"/>
    <w:rsid w:val="36CD31E7"/>
    <w:rsid w:val="372D1296"/>
    <w:rsid w:val="373B1E9E"/>
    <w:rsid w:val="37F407EA"/>
    <w:rsid w:val="382B20B3"/>
    <w:rsid w:val="38526A4D"/>
    <w:rsid w:val="38764AB1"/>
    <w:rsid w:val="38B8629F"/>
    <w:rsid w:val="38F56527"/>
    <w:rsid w:val="39306DB2"/>
    <w:rsid w:val="394F2215"/>
    <w:rsid w:val="3953031F"/>
    <w:rsid w:val="39A947A4"/>
    <w:rsid w:val="39AE0030"/>
    <w:rsid w:val="39D26F6B"/>
    <w:rsid w:val="3AA12ABC"/>
    <w:rsid w:val="3ABE1B66"/>
    <w:rsid w:val="3ACB7183"/>
    <w:rsid w:val="3ACC6586"/>
    <w:rsid w:val="3AEB54BA"/>
    <w:rsid w:val="3B186CD0"/>
    <w:rsid w:val="3B3E4760"/>
    <w:rsid w:val="3BA548E8"/>
    <w:rsid w:val="3BA65F82"/>
    <w:rsid w:val="3BC07C2C"/>
    <w:rsid w:val="3C1C362D"/>
    <w:rsid w:val="3C35239A"/>
    <w:rsid w:val="3C37572C"/>
    <w:rsid w:val="3C7207B9"/>
    <w:rsid w:val="3C775B86"/>
    <w:rsid w:val="3C8358E3"/>
    <w:rsid w:val="3C94676F"/>
    <w:rsid w:val="3CB44AA5"/>
    <w:rsid w:val="3CD05B6F"/>
    <w:rsid w:val="3CE37415"/>
    <w:rsid w:val="3CE974FE"/>
    <w:rsid w:val="3CFD73CB"/>
    <w:rsid w:val="3D007123"/>
    <w:rsid w:val="3D294B46"/>
    <w:rsid w:val="3D3A5C82"/>
    <w:rsid w:val="3D4C5207"/>
    <w:rsid w:val="3D8D7C73"/>
    <w:rsid w:val="3DAE0540"/>
    <w:rsid w:val="3E1003A5"/>
    <w:rsid w:val="3E717C39"/>
    <w:rsid w:val="3E9C6B44"/>
    <w:rsid w:val="3EA9521C"/>
    <w:rsid w:val="3F0363B8"/>
    <w:rsid w:val="3F12716D"/>
    <w:rsid w:val="3F356325"/>
    <w:rsid w:val="3F50359F"/>
    <w:rsid w:val="3F8B424E"/>
    <w:rsid w:val="3F9C2AF1"/>
    <w:rsid w:val="3FE24C5D"/>
    <w:rsid w:val="405939A2"/>
    <w:rsid w:val="40690B72"/>
    <w:rsid w:val="408436CF"/>
    <w:rsid w:val="40C50AD3"/>
    <w:rsid w:val="40FE75B8"/>
    <w:rsid w:val="41001153"/>
    <w:rsid w:val="413B57D4"/>
    <w:rsid w:val="41790392"/>
    <w:rsid w:val="419E43B4"/>
    <w:rsid w:val="41C0096A"/>
    <w:rsid w:val="41CA257F"/>
    <w:rsid w:val="41DF59E2"/>
    <w:rsid w:val="4205394F"/>
    <w:rsid w:val="420A12C4"/>
    <w:rsid w:val="420D1D39"/>
    <w:rsid w:val="427C0E32"/>
    <w:rsid w:val="42A868A9"/>
    <w:rsid w:val="42A87C81"/>
    <w:rsid w:val="42B749AD"/>
    <w:rsid w:val="42FE51F6"/>
    <w:rsid w:val="42FF5091"/>
    <w:rsid w:val="43251536"/>
    <w:rsid w:val="4338217F"/>
    <w:rsid w:val="4372172F"/>
    <w:rsid w:val="43BC38D1"/>
    <w:rsid w:val="44185647"/>
    <w:rsid w:val="44303F73"/>
    <w:rsid w:val="44601538"/>
    <w:rsid w:val="44A2217F"/>
    <w:rsid w:val="44C2005E"/>
    <w:rsid w:val="44F5008F"/>
    <w:rsid w:val="455E31D9"/>
    <w:rsid w:val="457E36C4"/>
    <w:rsid w:val="45DD622C"/>
    <w:rsid w:val="45F2294E"/>
    <w:rsid w:val="465316EE"/>
    <w:rsid w:val="46B53D11"/>
    <w:rsid w:val="47210E42"/>
    <w:rsid w:val="475649F2"/>
    <w:rsid w:val="4772244C"/>
    <w:rsid w:val="479C1094"/>
    <w:rsid w:val="479D43DE"/>
    <w:rsid w:val="47D01EDF"/>
    <w:rsid w:val="47E8267F"/>
    <w:rsid w:val="480A2B63"/>
    <w:rsid w:val="484336AB"/>
    <w:rsid w:val="487D7A79"/>
    <w:rsid w:val="48946070"/>
    <w:rsid w:val="48D40488"/>
    <w:rsid w:val="49267779"/>
    <w:rsid w:val="499844AC"/>
    <w:rsid w:val="49AD5BED"/>
    <w:rsid w:val="49C35B92"/>
    <w:rsid w:val="4A0D1F96"/>
    <w:rsid w:val="4AD25D50"/>
    <w:rsid w:val="4ADE3D60"/>
    <w:rsid w:val="4B3E0248"/>
    <w:rsid w:val="4B4A0E91"/>
    <w:rsid w:val="4B6A71C8"/>
    <w:rsid w:val="4B9F638B"/>
    <w:rsid w:val="4BCE336E"/>
    <w:rsid w:val="4BED3F1E"/>
    <w:rsid w:val="4C1705E5"/>
    <w:rsid w:val="4C2E4987"/>
    <w:rsid w:val="4C5948D2"/>
    <w:rsid w:val="4C8C09F1"/>
    <w:rsid w:val="4C8F3727"/>
    <w:rsid w:val="4C9702F9"/>
    <w:rsid w:val="4CF15D4A"/>
    <w:rsid w:val="4D7D11B1"/>
    <w:rsid w:val="4D9D3843"/>
    <w:rsid w:val="4DBC4459"/>
    <w:rsid w:val="4DE07C82"/>
    <w:rsid w:val="4E167639"/>
    <w:rsid w:val="4E263284"/>
    <w:rsid w:val="4E2C69CB"/>
    <w:rsid w:val="4E4D32C2"/>
    <w:rsid w:val="4E7A4AA6"/>
    <w:rsid w:val="4E807407"/>
    <w:rsid w:val="4EEE7D8E"/>
    <w:rsid w:val="4F1B40D5"/>
    <w:rsid w:val="4F2B390B"/>
    <w:rsid w:val="4F504F2A"/>
    <w:rsid w:val="4F57079E"/>
    <w:rsid w:val="4F704384"/>
    <w:rsid w:val="4F93047F"/>
    <w:rsid w:val="4FB3554D"/>
    <w:rsid w:val="4FBE7162"/>
    <w:rsid w:val="50624224"/>
    <w:rsid w:val="50870A44"/>
    <w:rsid w:val="51233E85"/>
    <w:rsid w:val="513E1FEF"/>
    <w:rsid w:val="514172DE"/>
    <w:rsid w:val="51431169"/>
    <w:rsid w:val="518B5E8F"/>
    <w:rsid w:val="51C67537"/>
    <w:rsid w:val="51E754ED"/>
    <w:rsid w:val="51E97187"/>
    <w:rsid w:val="521C7F46"/>
    <w:rsid w:val="528C31F5"/>
    <w:rsid w:val="52A83950"/>
    <w:rsid w:val="53726FC5"/>
    <w:rsid w:val="538E6B22"/>
    <w:rsid w:val="53CE651E"/>
    <w:rsid w:val="53E57531"/>
    <w:rsid w:val="53F53EE8"/>
    <w:rsid w:val="54160A2B"/>
    <w:rsid w:val="546352F0"/>
    <w:rsid w:val="549D6CE0"/>
    <w:rsid w:val="54C60A1A"/>
    <w:rsid w:val="552D1046"/>
    <w:rsid w:val="556C60B3"/>
    <w:rsid w:val="55D924DB"/>
    <w:rsid w:val="55F873F7"/>
    <w:rsid w:val="56241FDF"/>
    <w:rsid w:val="56300645"/>
    <w:rsid w:val="564F1F29"/>
    <w:rsid w:val="56820018"/>
    <w:rsid w:val="573F3A30"/>
    <w:rsid w:val="57460BED"/>
    <w:rsid w:val="575F1D66"/>
    <w:rsid w:val="57751D0C"/>
    <w:rsid w:val="577F009D"/>
    <w:rsid w:val="577F481A"/>
    <w:rsid w:val="57B62775"/>
    <w:rsid w:val="57C956CF"/>
    <w:rsid w:val="57FB3948"/>
    <w:rsid w:val="58382EAA"/>
    <w:rsid w:val="585A6F32"/>
    <w:rsid w:val="585B0D06"/>
    <w:rsid w:val="586E1F24"/>
    <w:rsid w:val="588C3C1F"/>
    <w:rsid w:val="591D7882"/>
    <w:rsid w:val="59BA4932"/>
    <w:rsid w:val="59F362D1"/>
    <w:rsid w:val="5A75732A"/>
    <w:rsid w:val="5A8D110A"/>
    <w:rsid w:val="5A9924A3"/>
    <w:rsid w:val="5B1B5005"/>
    <w:rsid w:val="5BD347B4"/>
    <w:rsid w:val="5C1F35AE"/>
    <w:rsid w:val="5C753FBD"/>
    <w:rsid w:val="5C7A458A"/>
    <w:rsid w:val="5CAB2299"/>
    <w:rsid w:val="5CFA62A2"/>
    <w:rsid w:val="5D415FB3"/>
    <w:rsid w:val="5D7A166C"/>
    <w:rsid w:val="5DD04BD2"/>
    <w:rsid w:val="5DDF45CF"/>
    <w:rsid w:val="5DE26D0A"/>
    <w:rsid w:val="5E346DD4"/>
    <w:rsid w:val="5E394F61"/>
    <w:rsid w:val="5E3D71AC"/>
    <w:rsid w:val="5E4B00B8"/>
    <w:rsid w:val="5E687C70"/>
    <w:rsid w:val="5E7B5E41"/>
    <w:rsid w:val="5E7E7C15"/>
    <w:rsid w:val="5E884949"/>
    <w:rsid w:val="5EE017FC"/>
    <w:rsid w:val="5EF16952"/>
    <w:rsid w:val="5F1F1181"/>
    <w:rsid w:val="5F386E74"/>
    <w:rsid w:val="5F4D5334"/>
    <w:rsid w:val="5F514999"/>
    <w:rsid w:val="5F652ED6"/>
    <w:rsid w:val="5F813FC0"/>
    <w:rsid w:val="5FD70E51"/>
    <w:rsid w:val="605B3923"/>
    <w:rsid w:val="60D422E8"/>
    <w:rsid w:val="60F115B5"/>
    <w:rsid w:val="610905C4"/>
    <w:rsid w:val="61E324A5"/>
    <w:rsid w:val="61E63CF6"/>
    <w:rsid w:val="629B1C54"/>
    <w:rsid w:val="63072608"/>
    <w:rsid w:val="631E69AA"/>
    <w:rsid w:val="63287082"/>
    <w:rsid w:val="63D619DB"/>
    <w:rsid w:val="63D66158"/>
    <w:rsid w:val="63F846BB"/>
    <w:rsid w:val="641B56B0"/>
    <w:rsid w:val="644C4E9D"/>
    <w:rsid w:val="6472739A"/>
    <w:rsid w:val="64950C9D"/>
    <w:rsid w:val="64AD25BC"/>
    <w:rsid w:val="64C753CD"/>
    <w:rsid w:val="6511265D"/>
    <w:rsid w:val="65474D35"/>
    <w:rsid w:val="66366408"/>
    <w:rsid w:val="66D91C48"/>
    <w:rsid w:val="671D3E6C"/>
    <w:rsid w:val="6726445E"/>
    <w:rsid w:val="682F64A8"/>
    <w:rsid w:val="686E2E56"/>
    <w:rsid w:val="687529FF"/>
    <w:rsid w:val="68BB1CF6"/>
    <w:rsid w:val="68CC58FB"/>
    <w:rsid w:val="691F077E"/>
    <w:rsid w:val="69A8496B"/>
    <w:rsid w:val="69EA6CF5"/>
    <w:rsid w:val="6A120191"/>
    <w:rsid w:val="6A3264C7"/>
    <w:rsid w:val="6A78799A"/>
    <w:rsid w:val="6AC3729A"/>
    <w:rsid w:val="6AE05CC8"/>
    <w:rsid w:val="6AE866D9"/>
    <w:rsid w:val="6B21034E"/>
    <w:rsid w:val="6B760662"/>
    <w:rsid w:val="6BA46E71"/>
    <w:rsid w:val="6BC063B6"/>
    <w:rsid w:val="6BE83356"/>
    <w:rsid w:val="6C1A3DE9"/>
    <w:rsid w:val="6C2A49C0"/>
    <w:rsid w:val="6C596EED"/>
    <w:rsid w:val="6C8B3DBA"/>
    <w:rsid w:val="6C926C63"/>
    <w:rsid w:val="6CC85207"/>
    <w:rsid w:val="6CD23598"/>
    <w:rsid w:val="6D061FFA"/>
    <w:rsid w:val="6D515A93"/>
    <w:rsid w:val="6D6C15A7"/>
    <w:rsid w:val="6D867BEC"/>
    <w:rsid w:val="6DC85463"/>
    <w:rsid w:val="6DDE362D"/>
    <w:rsid w:val="6E0D4730"/>
    <w:rsid w:val="6E2F5A53"/>
    <w:rsid w:val="6E442175"/>
    <w:rsid w:val="6E4F0506"/>
    <w:rsid w:val="6E7674F8"/>
    <w:rsid w:val="6ED2525C"/>
    <w:rsid w:val="6F4861D9"/>
    <w:rsid w:val="6FB07666"/>
    <w:rsid w:val="70AE4B6D"/>
    <w:rsid w:val="70AF47ED"/>
    <w:rsid w:val="70CF72A0"/>
    <w:rsid w:val="7111358D"/>
    <w:rsid w:val="71306870"/>
    <w:rsid w:val="713B5A91"/>
    <w:rsid w:val="714C35C1"/>
    <w:rsid w:val="716D33C3"/>
    <w:rsid w:val="71797E3F"/>
    <w:rsid w:val="71920663"/>
    <w:rsid w:val="71C25327"/>
    <w:rsid w:val="720D1255"/>
    <w:rsid w:val="7220374A"/>
    <w:rsid w:val="722A535E"/>
    <w:rsid w:val="723706DD"/>
    <w:rsid w:val="727147ED"/>
    <w:rsid w:val="72A1635F"/>
    <w:rsid w:val="72F8122F"/>
    <w:rsid w:val="731971E5"/>
    <w:rsid w:val="732C6967"/>
    <w:rsid w:val="73873F96"/>
    <w:rsid w:val="73AE5E40"/>
    <w:rsid w:val="74704EC5"/>
    <w:rsid w:val="74976486"/>
    <w:rsid w:val="74A024E4"/>
    <w:rsid w:val="74A93C2F"/>
    <w:rsid w:val="755E73F2"/>
    <w:rsid w:val="760630B0"/>
    <w:rsid w:val="764B64E0"/>
    <w:rsid w:val="76691AD0"/>
    <w:rsid w:val="76EA6BA6"/>
    <w:rsid w:val="772B760F"/>
    <w:rsid w:val="77561FB7"/>
    <w:rsid w:val="777E5922"/>
    <w:rsid w:val="77D16C15"/>
    <w:rsid w:val="780975FC"/>
    <w:rsid w:val="782F143B"/>
    <w:rsid w:val="7850227F"/>
    <w:rsid w:val="78585B44"/>
    <w:rsid w:val="787F71E5"/>
    <w:rsid w:val="78F227FE"/>
    <w:rsid w:val="78F368EE"/>
    <w:rsid w:val="79343267"/>
    <w:rsid w:val="798C38F6"/>
    <w:rsid w:val="79CC4CFF"/>
    <w:rsid w:val="79DC644F"/>
    <w:rsid w:val="7A06011E"/>
    <w:rsid w:val="7A2250E7"/>
    <w:rsid w:val="7A3D5CFF"/>
    <w:rsid w:val="7A4128EC"/>
    <w:rsid w:val="7ABF7572"/>
    <w:rsid w:val="7B0D36D8"/>
    <w:rsid w:val="7B41326C"/>
    <w:rsid w:val="7B5B4E90"/>
    <w:rsid w:val="7B6C0E56"/>
    <w:rsid w:val="7BBA0FB3"/>
    <w:rsid w:val="7BCA1FA7"/>
    <w:rsid w:val="7BCE5A1C"/>
    <w:rsid w:val="7BEB7F5D"/>
    <w:rsid w:val="7C00467F"/>
    <w:rsid w:val="7C1247C7"/>
    <w:rsid w:val="7C323818"/>
    <w:rsid w:val="7CC072CF"/>
    <w:rsid w:val="7CCD5781"/>
    <w:rsid w:val="7CF51F79"/>
    <w:rsid w:val="7CFA011A"/>
    <w:rsid w:val="7D2863F0"/>
    <w:rsid w:val="7D6507AA"/>
    <w:rsid w:val="7D87797E"/>
    <w:rsid w:val="7E210717"/>
    <w:rsid w:val="7E566D52"/>
    <w:rsid w:val="7E5C1E68"/>
    <w:rsid w:val="7E8C502E"/>
    <w:rsid w:val="7ECD5A97"/>
    <w:rsid w:val="7F002A6C"/>
    <w:rsid w:val="7F17514E"/>
    <w:rsid w:val="7F314371"/>
    <w:rsid w:val="7F361031"/>
    <w:rsid w:val="7F802A2E"/>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4"/>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45"/>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46"/>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47"/>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48"/>
    <w:qFormat/>
    <w:uiPriority w:val="99"/>
    <w:pPr>
      <w:keepNext/>
      <w:keepLines/>
      <w:spacing w:line="372" w:lineRule="auto"/>
      <w:outlineLvl w:val="4"/>
    </w:pPr>
    <w:rPr>
      <w:b/>
      <w:bCs/>
      <w:sz w:val="28"/>
      <w:szCs w:val="28"/>
    </w:rPr>
  </w:style>
  <w:style w:type="paragraph" w:styleId="9">
    <w:name w:val="heading 6"/>
    <w:basedOn w:val="1"/>
    <w:next w:val="1"/>
    <w:link w:val="49"/>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0"/>
    <w:qFormat/>
    <w:uiPriority w:val="99"/>
    <w:pPr>
      <w:keepNext/>
      <w:keepLines/>
      <w:spacing w:line="317" w:lineRule="auto"/>
      <w:outlineLvl w:val="6"/>
    </w:pPr>
    <w:rPr>
      <w:b/>
      <w:bCs/>
      <w:sz w:val="24"/>
      <w:szCs w:val="24"/>
    </w:rPr>
  </w:style>
  <w:style w:type="paragraph" w:styleId="11">
    <w:name w:val="heading 8"/>
    <w:basedOn w:val="1"/>
    <w:next w:val="1"/>
    <w:link w:val="51"/>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2"/>
    <w:qFormat/>
    <w:uiPriority w:val="99"/>
    <w:pPr>
      <w:keepNext/>
      <w:keepLines/>
      <w:spacing w:line="317" w:lineRule="auto"/>
      <w:outlineLvl w:val="8"/>
    </w:pPr>
    <w:rPr>
      <w:rFonts w:ascii="Arial" w:hAnsi="Arial" w:eastAsia="黑体" w:cs="Arial"/>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3"/>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Document Map"/>
    <w:basedOn w:val="1"/>
    <w:link w:val="53"/>
    <w:semiHidden/>
    <w:qFormat/>
    <w:uiPriority w:val="99"/>
    <w:rPr>
      <w:rFonts w:ascii="宋体" w:cs="宋体"/>
      <w:sz w:val="18"/>
      <w:szCs w:val="18"/>
    </w:rPr>
  </w:style>
  <w:style w:type="paragraph" w:styleId="15">
    <w:name w:val="annotation text"/>
    <w:basedOn w:val="1"/>
    <w:link w:val="54"/>
    <w:semiHidden/>
    <w:qFormat/>
    <w:uiPriority w:val="99"/>
    <w:pPr>
      <w:jc w:val="left"/>
    </w:pPr>
  </w:style>
  <w:style w:type="paragraph" w:styleId="16">
    <w:name w:val="Body Text"/>
    <w:basedOn w:val="1"/>
    <w:link w:val="55"/>
    <w:qFormat/>
    <w:uiPriority w:val="99"/>
    <w:pPr>
      <w:spacing w:after="120"/>
    </w:pPr>
  </w:style>
  <w:style w:type="paragraph" w:styleId="17">
    <w:name w:val="Block Text"/>
    <w:basedOn w:val="1"/>
    <w:qFormat/>
    <w:locked/>
    <w:uiPriority w:val="99"/>
    <w:pPr>
      <w:spacing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56"/>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57"/>
    <w:qFormat/>
    <w:uiPriority w:val="0"/>
    <w:pPr>
      <w:ind w:left="100" w:leftChars="2500"/>
    </w:pPr>
    <w:rPr>
      <w:rFonts w:ascii="楷体_GB2312" w:cs="楷体_GB2312"/>
      <w:sz w:val="36"/>
      <w:szCs w:val="36"/>
    </w:rPr>
  </w:style>
  <w:style w:type="paragraph" w:styleId="23">
    <w:name w:val="Body Text Indent 2"/>
    <w:basedOn w:val="1"/>
    <w:link w:val="58"/>
    <w:qFormat/>
    <w:uiPriority w:val="99"/>
    <w:pPr>
      <w:spacing w:line="400" w:lineRule="exact"/>
      <w:ind w:firstLine="840" w:firstLineChars="400"/>
    </w:pPr>
    <w:rPr>
      <w:rFonts w:ascii="宋体" w:hAnsi="宋体" w:cs="宋体"/>
    </w:rPr>
  </w:style>
  <w:style w:type="paragraph" w:styleId="24">
    <w:name w:val="Balloon Text"/>
    <w:basedOn w:val="1"/>
    <w:link w:val="59"/>
    <w:semiHidden/>
    <w:qFormat/>
    <w:uiPriority w:val="99"/>
    <w:rPr>
      <w:sz w:val="18"/>
      <w:szCs w:val="18"/>
    </w:rPr>
  </w:style>
  <w:style w:type="paragraph" w:styleId="25">
    <w:name w:val="footer"/>
    <w:basedOn w:val="1"/>
    <w:link w:val="60"/>
    <w:qFormat/>
    <w:uiPriority w:val="99"/>
    <w:pPr>
      <w:tabs>
        <w:tab w:val="center" w:pos="4153"/>
        <w:tab w:val="right" w:pos="8306"/>
      </w:tabs>
      <w:snapToGrid w:val="0"/>
      <w:jc w:val="left"/>
    </w:pPr>
    <w:rPr>
      <w:sz w:val="18"/>
      <w:szCs w:val="18"/>
    </w:rPr>
  </w:style>
  <w:style w:type="paragraph" w:styleId="26">
    <w:name w:val="header"/>
    <w:basedOn w:val="1"/>
    <w:link w:val="61"/>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2"/>
    <w:qFormat/>
    <w:uiPriority w:val="99"/>
    <w:pPr>
      <w:spacing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3"/>
    <w:qFormat/>
    <w:uiPriority w:val="99"/>
    <w:rPr>
      <w:rFonts w:ascii="宋体" w:hAnsi="宋体" w:cs="宋体"/>
      <w:sz w:val="30"/>
      <w:szCs w:val="30"/>
    </w:rPr>
  </w:style>
  <w:style w:type="paragraph" w:styleId="34">
    <w:name w:val="Normal (Web)"/>
    <w:basedOn w:val="1"/>
    <w:qFormat/>
    <w:uiPriority w:val="99"/>
    <w:rPr>
      <w:sz w:val="24"/>
      <w:szCs w:val="24"/>
    </w:rPr>
  </w:style>
  <w:style w:type="paragraph" w:styleId="35">
    <w:name w:val="annotation subject"/>
    <w:basedOn w:val="15"/>
    <w:next w:val="15"/>
    <w:link w:val="64"/>
    <w:semiHidden/>
    <w:qFormat/>
    <w:uiPriority w:val="99"/>
    <w:rPr>
      <w:b/>
      <w:bCs/>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basedOn w:val="38"/>
    <w:qFormat/>
    <w:uiPriority w:val="99"/>
  </w:style>
  <w:style w:type="character" w:styleId="40">
    <w:name w:val="FollowedHyperlink"/>
    <w:basedOn w:val="38"/>
    <w:qFormat/>
    <w:uiPriority w:val="99"/>
    <w:rPr>
      <w:color w:val="800080"/>
      <w:u w:val="single"/>
    </w:rPr>
  </w:style>
  <w:style w:type="character" w:styleId="41">
    <w:name w:val="Hyperlink"/>
    <w:basedOn w:val="38"/>
    <w:qFormat/>
    <w:uiPriority w:val="99"/>
    <w:rPr>
      <w:color w:val="0000FF"/>
      <w:u w:val="single"/>
    </w:rPr>
  </w:style>
  <w:style w:type="character" w:styleId="42">
    <w:name w:val="annotation reference"/>
    <w:basedOn w:val="38"/>
    <w:semiHidden/>
    <w:qFormat/>
    <w:uiPriority w:val="99"/>
    <w:rPr>
      <w:sz w:val="21"/>
      <w:szCs w:val="21"/>
    </w:rPr>
  </w:style>
  <w:style w:type="character" w:customStyle="1" w:styleId="43">
    <w:name w:val="正文文本缩进 Char"/>
    <w:basedOn w:val="38"/>
    <w:link w:val="3"/>
    <w:semiHidden/>
    <w:qFormat/>
    <w:locked/>
    <w:uiPriority w:val="99"/>
    <w:rPr>
      <w:sz w:val="24"/>
      <w:szCs w:val="24"/>
    </w:rPr>
  </w:style>
  <w:style w:type="character" w:customStyle="1" w:styleId="44">
    <w:name w:val="标题 1 Char"/>
    <w:basedOn w:val="38"/>
    <w:link w:val="4"/>
    <w:qFormat/>
    <w:locked/>
    <w:uiPriority w:val="99"/>
    <w:rPr>
      <w:b/>
      <w:bCs/>
      <w:kern w:val="44"/>
      <w:sz w:val="44"/>
      <w:szCs w:val="44"/>
    </w:rPr>
  </w:style>
  <w:style w:type="character" w:customStyle="1" w:styleId="45">
    <w:name w:val="标题 2 Char"/>
    <w:basedOn w:val="38"/>
    <w:link w:val="5"/>
    <w:qFormat/>
    <w:locked/>
    <w:uiPriority w:val="99"/>
    <w:rPr>
      <w:rFonts w:ascii="Arial" w:hAnsi="Arial" w:eastAsia="黑体" w:cs="Arial"/>
      <w:b/>
      <w:bCs/>
      <w:w w:val="80"/>
      <w:kern w:val="1"/>
      <w:sz w:val="32"/>
      <w:szCs w:val="32"/>
    </w:rPr>
  </w:style>
  <w:style w:type="character" w:customStyle="1" w:styleId="46">
    <w:name w:val="标题 3 Char"/>
    <w:basedOn w:val="38"/>
    <w:link w:val="6"/>
    <w:qFormat/>
    <w:locked/>
    <w:uiPriority w:val="99"/>
    <w:rPr>
      <w:b/>
      <w:bCs/>
      <w:w w:val="80"/>
      <w:kern w:val="1"/>
      <w:sz w:val="32"/>
      <w:szCs w:val="32"/>
    </w:rPr>
  </w:style>
  <w:style w:type="character" w:customStyle="1" w:styleId="47">
    <w:name w:val="标题 4 Char"/>
    <w:basedOn w:val="38"/>
    <w:link w:val="7"/>
    <w:semiHidden/>
    <w:qFormat/>
    <w:locked/>
    <w:uiPriority w:val="99"/>
    <w:rPr>
      <w:rFonts w:ascii="Cambria" w:hAnsi="Cambria" w:eastAsia="宋体" w:cs="Cambria"/>
      <w:b/>
      <w:bCs/>
      <w:sz w:val="28"/>
      <w:szCs w:val="28"/>
    </w:rPr>
  </w:style>
  <w:style w:type="character" w:customStyle="1" w:styleId="48">
    <w:name w:val="标题 5 Char"/>
    <w:basedOn w:val="38"/>
    <w:link w:val="8"/>
    <w:semiHidden/>
    <w:qFormat/>
    <w:locked/>
    <w:uiPriority w:val="99"/>
    <w:rPr>
      <w:b/>
      <w:bCs/>
      <w:sz w:val="28"/>
      <w:szCs w:val="28"/>
    </w:rPr>
  </w:style>
  <w:style w:type="character" w:customStyle="1" w:styleId="49">
    <w:name w:val="标题 6 Char"/>
    <w:basedOn w:val="38"/>
    <w:link w:val="9"/>
    <w:semiHidden/>
    <w:qFormat/>
    <w:locked/>
    <w:uiPriority w:val="99"/>
    <w:rPr>
      <w:rFonts w:ascii="Cambria" w:hAnsi="Cambria" w:eastAsia="宋体" w:cs="Cambria"/>
      <w:b/>
      <w:bCs/>
      <w:sz w:val="24"/>
      <w:szCs w:val="24"/>
    </w:rPr>
  </w:style>
  <w:style w:type="character" w:customStyle="1" w:styleId="50">
    <w:name w:val="标题 7 Char"/>
    <w:basedOn w:val="38"/>
    <w:link w:val="10"/>
    <w:semiHidden/>
    <w:qFormat/>
    <w:locked/>
    <w:uiPriority w:val="99"/>
    <w:rPr>
      <w:b/>
      <w:bCs/>
      <w:sz w:val="24"/>
      <w:szCs w:val="24"/>
    </w:rPr>
  </w:style>
  <w:style w:type="character" w:customStyle="1" w:styleId="51">
    <w:name w:val="标题 8 Char"/>
    <w:basedOn w:val="38"/>
    <w:link w:val="11"/>
    <w:semiHidden/>
    <w:qFormat/>
    <w:locked/>
    <w:uiPriority w:val="99"/>
    <w:rPr>
      <w:rFonts w:ascii="Cambria" w:hAnsi="Cambria" w:eastAsia="宋体" w:cs="Cambria"/>
      <w:sz w:val="24"/>
      <w:szCs w:val="24"/>
    </w:rPr>
  </w:style>
  <w:style w:type="character" w:customStyle="1" w:styleId="52">
    <w:name w:val="标题 9 Char"/>
    <w:basedOn w:val="38"/>
    <w:link w:val="12"/>
    <w:semiHidden/>
    <w:qFormat/>
    <w:locked/>
    <w:uiPriority w:val="99"/>
    <w:rPr>
      <w:rFonts w:ascii="Cambria" w:hAnsi="Cambria" w:eastAsia="宋体" w:cs="Cambria"/>
      <w:sz w:val="21"/>
      <w:szCs w:val="21"/>
    </w:rPr>
  </w:style>
  <w:style w:type="character" w:customStyle="1" w:styleId="53">
    <w:name w:val="文档结构图 Char"/>
    <w:basedOn w:val="38"/>
    <w:link w:val="14"/>
    <w:qFormat/>
    <w:locked/>
    <w:uiPriority w:val="99"/>
    <w:rPr>
      <w:rFonts w:ascii="宋体" w:cs="宋体"/>
      <w:kern w:val="2"/>
      <w:sz w:val="18"/>
      <w:szCs w:val="18"/>
    </w:rPr>
  </w:style>
  <w:style w:type="character" w:customStyle="1" w:styleId="54">
    <w:name w:val="批注文字 Char"/>
    <w:basedOn w:val="38"/>
    <w:link w:val="15"/>
    <w:semiHidden/>
    <w:qFormat/>
    <w:locked/>
    <w:uiPriority w:val="99"/>
    <w:rPr>
      <w:sz w:val="24"/>
      <w:szCs w:val="24"/>
    </w:rPr>
  </w:style>
  <w:style w:type="character" w:customStyle="1" w:styleId="55">
    <w:name w:val="正文文本 Char"/>
    <w:basedOn w:val="38"/>
    <w:link w:val="16"/>
    <w:semiHidden/>
    <w:qFormat/>
    <w:locked/>
    <w:uiPriority w:val="99"/>
    <w:rPr>
      <w:sz w:val="24"/>
      <w:szCs w:val="24"/>
    </w:rPr>
  </w:style>
  <w:style w:type="character" w:customStyle="1" w:styleId="56">
    <w:name w:val="纯文本 Char"/>
    <w:basedOn w:val="38"/>
    <w:link w:val="20"/>
    <w:qFormat/>
    <w:locked/>
    <w:uiPriority w:val="0"/>
    <w:rPr>
      <w:rFonts w:ascii="宋体" w:hAnsi="Courier New" w:cs="宋体"/>
      <w:sz w:val="21"/>
      <w:szCs w:val="21"/>
    </w:rPr>
  </w:style>
  <w:style w:type="character" w:customStyle="1" w:styleId="57">
    <w:name w:val="日期 Char"/>
    <w:basedOn w:val="38"/>
    <w:link w:val="22"/>
    <w:qFormat/>
    <w:locked/>
    <w:uiPriority w:val="0"/>
    <w:rPr>
      <w:sz w:val="24"/>
      <w:szCs w:val="24"/>
    </w:rPr>
  </w:style>
  <w:style w:type="character" w:customStyle="1" w:styleId="58">
    <w:name w:val="正文文本缩进 2 Char"/>
    <w:basedOn w:val="38"/>
    <w:link w:val="23"/>
    <w:semiHidden/>
    <w:qFormat/>
    <w:locked/>
    <w:uiPriority w:val="99"/>
    <w:rPr>
      <w:sz w:val="24"/>
      <w:szCs w:val="24"/>
    </w:rPr>
  </w:style>
  <w:style w:type="character" w:customStyle="1" w:styleId="59">
    <w:name w:val="批注框文本 Char"/>
    <w:basedOn w:val="38"/>
    <w:link w:val="24"/>
    <w:semiHidden/>
    <w:qFormat/>
    <w:locked/>
    <w:uiPriority w:val="99"/>
    <w:rPr>
      <w:sz w:val="2"/>
      <w:szCs w:val="2"/>
    </w:rPr>
  </w:style>
  <w:style w:type="character" w:customStyle="1" w:styleId="60">
    <w:name w:val="页脚 Char"/>
    <w:basedOn w:val="38"/>
    <w:link w:val="25"/>
    <w:qFormat/>
    <w:locked/>
    <w:uiPriority w:val="99"/>
    <w:rPr>
      <w:sz w:val="18"/>
      <w:szCs w:val="18"/>
    </w:rPr>
  </w:style>
  <w:style w:type="character" w:customStyle="1" w:styleId="61">
    <w:name w:val="页眉 Char"/>
    <w:basedOn w:val="38"/>
    <w:link w:val="26"/>
    <w:qFormat/>
    <w:locked/>
    <w:uiPriority w:val="99"/>
    <w:rPr>
      <w:sz w:val="18"/>
      <w:szCs w:val="18"/>
    </w:rPr>
  </w:style>
  <w:style w:type="character" w:customStyle="1" w:styleId="62">
    <w:name w:val="正文文本缩进 3 Char"/>
    <w:basedOn w:val="38"/>
    <w:link w:val="30"/>
    <w:semiHidden/>
    <w:qFormat/>
    <w:locked/>
    <w:uiPriority w:val="99"/>
    <w:rPr>
      <w:sz w:val="16"/>
      <w:szCs w:val="16"/>
    </w:rPr>
  </w:style>
  <w:style w:type="character" w:customStyle="1" w:styleId="63">
    <w:name w:val="正文文本 2 Char"/>
    <w:basedOn w:val="38"/>
    <w:link w:val="33"/>
    <w:semiHidden/>
    <w:qFormat/>
    <w:locked/>
    <w:uiPriority w:val="99"/>
    <w:rPr>
      <w:sz w:val="24"/>
      <w:szCs w:val="24"/>
    </w:rPr>
  </w:style>
  <w:style w:type="character" w:customStyle="1" w:styleId="64">
    <w:name w:val="批注主题 Char"/>
    <w:basedOn w:val="54"/>
    <w:link w:val="35"/>
    <w:semiHidden/>
    <w:qFormat/>
    <w:locked/>
    <w:uiPriority w:val="99"/>
    <w:rPr>
      <w:b/>
      <w:bCs/>
      <w:sz w:val="24"/>
      <w:szCs w:val="24"/>
    </w:rPr>
  </w:style>
  <w:style w:type="character" w:customStyle="1" w:styleId="65">
    <w:name w:val="日期 Char1"/>
    <w:qFormat/>
    <w:uiPriority w:val="0"/>
    <w:rPr>
      <w:rFonts w:eastAsia="宋体"/>
      <w:kern w:val="2"/>
      <w:sz w:val="24"/>
      <w:lang w:val="en-US" w:eastAsia="zh-CN" w:bidi="ar-SA"/>
    </w:rPr>
  </w:style>
  <w:style w:type="character" w:customStyle="1" w:styleId="66">
    <w:name w:val="font51"/>
    <w:basedOn w:val="38"/>
    <w:qFormat/>
    <w:uiPriority w:val="0"/>
    <w:rPr>
      <w:rFonts w:hint="eastAsia" w:ascii="宋体" w:hAnsi="宋体" w:eastAsia="宋体" w:cs="宋体"/>
      <w:color w:val="000000"/>
      <w:sz w:val="24"/>
      <w:szCs w:val="24"/>
      <w:u w:val="none"/>
    </w:rPr>
  </w:style>
  <w:style w:type="character" w:customStyle="1" w:styleId="67">
    <w:name w:val="font01"/>
    <w:basedOn w:val="38"/>
    <w:qFormat/>
    <w:uiPriority w:val="0"/>
    <w:rPr>
      <w:rFonts w:hint="eastAsia" w:ascii="宋体" w:hAnsi="宋体" w:eastAsia="宋体" w:cs="宋体"/>
      <w:color w:val="000000"/>
      <w:sz w:val="24"/>
      <w:szCs w:val="24"/>
      <w:u w:val="single"/>
    </w:rPr>
  </w:style>
  <w:style w:type="character" w:customStyle="1" w:styleId="68">
    <w:name w:val="address-info"/>
    <w:basedOn w:val="38"/>
    <w:qFormat/>
    <w:uiPriority w:val="0"/>
  </w:style>
  <w:style w:type="character" w:customStyle="1" w:styleId="69">
    <w:name w:val="font31"/>
    <w:basedOn w:val="38"/>
    <w:qFormat/>
    <w:uiPriority w:val="0"/>
    <w:rPr>
      <w:rFonts w:hint="eastAsia" w:ascii="宋体" w:hAnsi="宋体" w:eastAsia="宋体" w:cs="宋体"/>
      <w:b/>
      <w:color w:val="000000"/>
      <w:sz w:val="24"/>
      <w:szCs w:val="24"/>
      <w:u w:val="none"/>
    </w:rPr>
  </w:style>
  <w:style w:type="character" w:customStyle="1" w:styleId="70">
    <w:name w:val="mh-map_new-info"/>
    <w:basedOn w:val="38"/>
    <w:qFormat/>
    <w:uiPriority w:val="0"/>
  </w:style>
  <w:style w:type="paragraph" w:customStyle="1" w:styleId="71">
    <w:name w:val="Char Char Char Char"/>
    <w:basedOn w:val="1"/>
    <w:qFormat/>
    <w:uiPriority w:val="99"/>
    <w:rPr>
      <w:rFonts w:ascii="Tahoma" w:hAnsi="Tahoma" w:cs="Tahoma"/>
      <w:sz w:val="24"/>
      <w:szCs w:val="24"/>
    </w:rPr>
  </w:style>
  <w:style w:type="paragraph" w:customStyle="1" w:styleId="72">
    <w:name w:val="Char"/>
    <w:basedOn w:val="1"/>
    <w:qFormat/>
    <w:uiPriority w:val="99"/>
  </w:style>
  <w:style w:type="paragraph" w:customStyle="1" w:styleId="73">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4">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75">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76">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77">
    <w:name w:val="List Paragraph"/>
    <w:basedOn w:val="1"/>
    <w:qFormat/>
    <w:uiPriority w:val="99"/>
    <w:pPr>
      <w:spacing w:line="360" w:lineRule="exact"/>
      <w:ind w:firstLine="420" w:firstLineChars="200"/>
    </w:pPr>
    <w:rPr>
      <w:rFonts w:ascii="Calibri" w:hAnsi="Calibri"/>
      <w:szCs w:val="22"/>
    </w:rPr>
  </w:style>
  <w:style w:type="paragraph" w:customStyle="1" w:styleId="78">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79">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0">
    <w:name w:val="content_1"/>
    <w:qFormat/>
    <w:uiPriority w:val="0"/>
    <w:rPr>
      <w:sz w:val="19"/>
      <w:szCs w:val="19"/>
    </w:rPr>
  </w:style>
  <w:style w:type="paragraph" w:customStyle="1" w:styleId="81">
    <w:name w:val="列出段落1"/>
    <w:basedOn w:val="1"/>
    <w:qFormat/>
    <w:uiPriority w:val="34"/>
    <w:pPr>
      <w:ind w:firstLine="420" w:firstLineChars="200"/>
    </w:pPr>
  </w:style>
  <w:style w:type="character" w:customStyle="1" w:styleId="82">
    <w:name w:val="font41"/>
    <w:basedOn w:val="38"/>
    <w:qFormat/>
    <w:uiPriority w:val="0"/>
    <w:rPr>
      <w:rFonts w:hint="default" w:ascii="Times New Roman" w:hAnsi="Times New Roman" w:cs="Times New Roman"/>
      <w:color w:val="FF0000"/>
      <w:sz w:val="24"/>
      <w:szCs w:val="24"/>
      <w:u w:val="none"/>
    </w:rPr>
  </w:style>
  <w:style w:type="character" w:customStyle="1" w:styleId="83">
    <w:name w:val="font11"/>
    <w:basedOn w:val="38"/>
    <w:qFormat/>
    <w:uiPriority w:val="0"/>
    <w:rPr>
      <w:rFonts w:hint="default" w:ascii="楷体_GB2312" w:eastAsia="楷体_GB2312" w:cs="楷体_GB2312"/>
      <w:b/>
      <w:bCs/>
      <w:color w:val="000000"/>
      <w:sz w:val="24"/>
      <w:szCs w:val="24"/>
      <w:u w:val="none"/>
    </w:rPr>
  </w:style>
  <w:style w:type="character" w:customStyle="1" w:styleId="84">
    <w:name w:val="font81"/>
    <w:basedOn w:val="38"/>
    <w:qFormat/>
    <w:uiPriority w:val="0"/>
    <w:rPr>
      <w:rFonts w:hint="default" w:ascii="楷体_GB2312" w:eastAsia="楷体_GB2312" w:cs="楷体_GB2312"/>
      <w:color w:val="000000"/>
      <w:sz w:val="24"/>
      <w:szCs w:val="24"/>
      <w:u w:val="none"/>
    </w:rPr>
  </w:style>
  <w:style w:type="character" w:customStyle="1" w:styleId="85">
    <w:name w:val="font21"/>
    <w:basedOn w:val="38"/>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11017</Words>
  <Characters>13396</Characters>
  <Lines>86</Lines>
  <Paragraphs>24</Paragraphs>
  <TotalTime>10</TotalTime>
  <ScaleCrop>false</ScaleCrop>
  <LinksUpToDate>false</LinksUpToDate>
  <CharactersWithSpaces>14725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2023-07-10T07:35:00Z</cp:lastPrinted>
  <dcterms:modified xsi:type="dcterms:W3CDTF">2023-09-11T06:38:28Z</dcterms:modified>
  <dc:title>政  府  采  购</dc:title>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AF51FF08049D453B922040D9557B4B54_13</vt:lpwstr>
  </property>
</Properties>
</file>