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eastAsia="黑体"/>
          <w:b/>
          <w:sz w:val="36"/>
          <w:lang w:eastAsia="zh-CN"/>
        </w:rPr>
      </w:pPr>
      <w:r>
        <w:rPr>
          <w:rFonts w:hint="eastAsia" w:ascii="黑体" w:eastAsia="黑体"/>
          <w:b/>
          <w:sz w:val="36"/>
          <w:lang w:eastAsia="zh-CN"/>
        </w:rPr>
        <w:t>喷漆房建设项目</w:t>
      </w:r>
    </w:p>
    <w:p>
      <w:pPr>
        <w:spacing w:line="360" w:lineRule="auto"/>
        <w:jc w:val="center"/>
        <w:rPr>
          <w:rFonts w:ascii="黑体" w:hAnsi="黑体" w:eastAsia="黑体" w:cs="方正小标宋简体"/>
          <w:b/>
          <w:bCs/>
          <w:sz w:val="36"/>
          <w:szCs w:val="36"/>
        </w:rPr>
      </w:pPr>
      <w:r>
        <w:rPr>
          <w:rFonts w:hint="eastAsia" w:ascii="黑体" w:hAnsi="黑体" w:eastAsia="黑体" w:cs="黑体"/>
          <w:b/>
          <w:bCs/>
          <w:sz w:val="36"/>
          <w:szCs w:val="36"/>
        </w:rPr>
        <w:t>竣工环境保护验收其它需要说明的事项</w:t>
      </w:r>
    </w:p>
    <w:p>
      <w:pPr>
        <w:spacing w:line="360" w:lineRule="auto"/>
        <w:rPr>
          <w:rFonts w:ascii="黑体" w:eastAsia="黑体" w:cs="方正小标宋简体"/>
          <w:b/>
          <w:bCs/>
          <w:sz w:val="36"/>
          <w:szCs w:val="36"/>
        </w:rPr>
      </w:pPr>
    </w:p>
    <w:p>
      <w:pPr>
        <w:spacing w:line="560" w:lineRule="exact"/>
        <w:ind w:firstLine="443" w:firstLineChars="211"/>
        <w:rPr>
          <w:color w:val="000000"/>
        </w:rPr>
      </w:pPr>
      <w:r>
        <w:rPr>
          <w:rFonts w:hint="eastAsia"/>
        </w:rPr>
        <w:t>根据《建设项目环境保护管理条例》和《建设项目竣工环境保护验收暂行办法》要求，</w:t>
      </w:r>
      <w:r>
        <w:t>201</w:t>
      </w:r>
      <w:r>
        <w:rPr>
          <w:rFonts w:hint="eastAsia"/>
          <w:lang w:val="en-US" w:eastAsia="zh-CN"/>
        </w:rPr>
        <w:t>9</w:t>
      </w:r>
      <w:r>
        <w:rPr>
          <w:rFonts w:hint="eastAsia"/>
        </w:rPr>
        <w:t>年</w:t>
      </w:r>
      <w:r>
        <w:rPr>
          <w:rFonts w:hint="eastAsia"/>
          <w:lang w:val="en-US" w:eastAsia="zh-CN"/>
        </w:rPr>
        <w:t>1</w:t>
      </w:r>
      <w:r>
        <w:rPr>
          <w:rFonts w:hint="eastAsia"/>
        </w:rPr>
        <w:t>月</w:t>
      </w:r>
      <w:r>
        <w:rPr>
          <w:rFonts w:hint="eastAsia"/>
          <w:lang w:val="en-US" w:eastAsia="zh-CN"/>
        </w:rPr>
        <w:t>21</w:t>
      </w:r>
      <w:r>
        <w:rPr>
          <w:rFonts w:hint="eastAsia"/>
        </w:rPr>
        <w:t>日，</w:t>
      </w:r>
      <w:r>
        <w:rPr>
          <w:rFonts w:hint="eastAsia"/>
          <w:color w:val="000000"/>
          <w:lang w:eastAsia="zh-CN"/>
        </w:rPr>
        <w:t>山东泰开电力开关有限公司</w:t>
      </w:r>
      <w:r>
        <w:rPr>
          <w:rFonts w:hint="eastAsia"/>
        </w:rPr>
        <w:t>在</w:t>
      </w:r>
      <w:r>
        <w:rPr>
          <w:rFonts w:hint="eastAsia" w:cs="Times New Roman"/>
          <w:color w:val="000000"/>
          <w:lang w:eastAsia="zh-CN"/>
        </w:rPr>
        <w:t>泰山</w:t>
      </w:r>
      <w:r>
        <w:rPr>
          <w:rFonts w:hint="eastAsia" w:ascii="Times New Roman" w:hAnsi="Times New Roman" w:cs="Times New Roman"/>
          <w:color w:val="000000"/>
          <w:lang w:eastAsia="zh-CN"/>
        </w:rPr>
        <w:t>区</w:t>
      </w:r>
      <w:r>
        <w:rPr>
          <w:rFonts w:hint="eastAsia"/>
        </w:rPr>
        <w:t>组织召开了</w:t>
      </w:r>
      <w:r>
        <w:rPr>
          <w:rFonts w:hint="eastAsia"/>
          <w:lang w:eastAsia="zh-CN"/>
        </w:rPr>
        <w:t>喷漆房建设项目</w:t>
      </w:r>
      <w:r>
        <w:rPr>
          <w:rFonts w:hint="eastAsia"/>
        </w:rPr>
        <w:t>竣工环境保护验收会议。</w:t>
      </w:r>
      <w:r>
        <w:rPr>
          <w:rFonts w:hint="eastAsia"/>
          <w:color w:val="000000"/>
        </w:rPr>
        <w:t>现将该工程环境保护设施设计、施工和验收过程简况、环境影响报告表及其审批部门审批决定中提出的除环境保护设施外的其他环境保护对策措施的实施情况等其它需要说明事项说明如下：</w:t>
      </w:r>
    </w:p>
    <w:p>
      <w:pPr>
        <w:spacing w:line="560" w:lineRule="exact"/>
        <w:ind w:firstLine="413" w:firstLineChars="197"/>
        <w:rPr>
          <w:rFonts w:ascii="黑体" w:eastAsia="黑体"/>
        </w:rPr>
      </w:pPr>
      <w:r>
        <w:rPr>
          <w:rFonts w:hint="eastAsia" w:ascii="黑体" w:eastAsia="黑体" w:cs="黑体"/>
        </w:rPr>
        <w:t>一、环境保护设施设计、施工和验收过程简况</w:t>
      </w:r>
    </w:p>
    <w:p>
      <w:pPr>
        <w:adjustRightInd w:val="0"/>
        <w:spacing w:line="560" w:lineRule="exact"/>
        <w:ind w:firstLine="643"/>
        <w:rPr>
          <w:b/>
          <w:bCs/>
          <w:color w:val="000000"/>
        </w:rPr>
      </w:pPr>
      <w:r>
        <w:rPr>
          <w:b/>
          <w:bCs/>
          <w:color w:val="000000"/>
        </w:rPr>
        <w:t>1</w:t>
      </w:r>
      <w:r>
        <w:rPr>
          <w:rFonts w:hint="eastAsia"/>
          <w:b/>
          <w:bCs/>
          <w:color w:val="000000"/>
        </w:rPr>
        <w:t>、设计简况</w:t>
      </w:r>
    </w:p>
    <w:p>
      <w:pPr>
        <w:spacing w:line="560" w:lineRule="exact"/>
        <w:ind w:firstLine="338" w:firstLineChars="161"/>
      </w:pPr>
      <w:r>
        <w:rPr>
          <w:rFonts w:hint="eastAsia"/>
          <w:lang w:eastAsia="zh-CN"/>
        </w:rPr>
        <w:t>山东泰开电力开关有限公司喷漆房建设项目</w:t>
      </w:r>
      <w:r>
        <w:rPr>
          <w:rFonts w:hint="eastAsia"/>
        </w:rPr>
        <w:t>环境保护设施纳入了初步设计，环境保护设施的设计符合环境保护设计规范要求，落实了防止污染和生态破坏措施及环境保护设施投资概算。</w:t>
      </w:r>
    </w:p>
    <w:p>
      <w:pPr>
        <w:adjustRightInd w:val="0"/>
        <w:spacing w:line="560" w:lineRule="exact"/>
        <w:ind w:firstLine="643"/>
        <w:rPr>
          <w:b/>
          <w:bCs/>
        </w:rPr>
      </w:pPr>
      <w:r>
        <w:rPr>
          <w:b/>
          <w:bCs/>
        </w:rPr>
        <w:t>2</w:t>
      </w:r>
      <w:r>
        <w:rPr>
          <w:rFonts w:hint="eastAsia"/>
          <w:b/>
          <w:bCs/>
        </w:rPr>
        <w:t>、施工简况</w:t>
      </w:r>
    </w:p>
    <w:p>
      <w:pPr>
        <w:spacing w:line="560" w:lineRule="exact"/>
        <w:ind w:firstLine="420" w:firstLineChars="200"/>
      </w:pPr>
      <w:r>
        <w:rPr>
          <w:rFonts w:hint="eastAsia"/>
          <w:lang w:eastAsia="zh-CN"/>
        </w:rPr>
        <w:t>山东泰开电力开关有限公司喷漆房建设项目</w:t>
      </w:r>
      <w:r>
        <w:rPr>
          <w:rFonts w:hint="eastAsia"/>
        </w:rPr>
        <w:t>将环境保护设施纳入了施工合同，环境保护设施的建设进度和资金得到了保证，项目建设过程中组织实施了环境影响报告表及其审批部门审批决定中提出的环境保护对策措施。</w:t>
      </w:r>
    </w:p>
    <w:p>
      <w:pPr>
        <w:adjustRightInd w:val="0"/>
        <w:spacing w:line="560" w:lineRule="exact"/>
        <w:ind w:firstLine="643"/>
        <w:rPr>
          <w:b/>
          <w:bCs/>
          <w:color w:val="000000"/>
        </w:rPr>
      </w:pPr>
      <w:r>
        <w:rPr>
          <w:b/>
          <w:bCs/>
          <w:color w:val="000000"/>
        </w:rPr>
        <w:t>3</w:t>
      </w:r>
      <w:r>
        <w:rPr>
          <w:rFonts w:hint="eastAsia"/>
          <w:b/>
          <w:bCs/>
          <w:color w:val="000000"/>
        </w:rPr>
        <w:t>、验收简况</w:t>
      </w:r>
    </w:p>
    <w:p>
      <w:pPr>
        <w:spacing w:line="560" w:lineRule="exact"/>
        <w:ind w:firstLine="338" w:firstLineChars="161"/>
      </w:pPr>
      <w:r>
        <w:t>201</w:t>
      </w:r>
      <w:r>
        <w:rPr>
          <w:rFonts w:hint="eastAsia"/>
          <w:lang w:val="en-US" w:eastAsia="zh-CN"/>
        </w:rPr>
        <w:t>8</w:t>
      </w:r>
      <w:r>
        <w:rPr>
          <w:rFonts w:hint="eastAsia"/>
        </w:rPr>
        <w:t>年</w:t>
      </w:r>
      <w:r>
        <w:rPr>
          <w:rFonts w:hint="eastAsia"/>
          <w:lang w:val="en-US" w:eastAsia="zh-CN"/>
        </w:rPr>
        <w:t>11</w:t>
      </w:r>
      <w:r>
        <w:rPr>
          <w:rFonts w:hint="eastAsia"/>
        </w:rPr>
        <w:t>月，</w:t>
      </w:r>
      <w:r>
        <w:rPr>
          <w:rFonts w:hint="eastAsia"/>
          <w:lang w:eastAsia="zh-CN"/>
        </w:rPr>
        <w:t>山东泰开电力开关有限公司</w:t>
      </w:r>
      <w:r>
        <w:rPr>
          <w:rFonts w:hint="eastAsia"/>
        </w:rPr>
        <w:t>委托</w:t>
      </w:r>
      <w:r>
        <w:rPr>
          <w:rFonts w:hint="eastAsia"/>
          <w:color w:val="000000"/>
          <w:lang w:eastAsia="zh-CN"/>
        </w:rPr>
        <w:t>山东科源检测技术有限公司</w:t>
      </w:r>
      <w:r>
        <w:rPr>
          <w:rFonts w:hint="eastAsia"/>
        </w:rPr>
        <w:t>承担该项目竣工环境保护验收调查工作。</w:t>
      </w:r>
      <w:r>
        <w:t>201</w:t>
      </w:r>
      <w:r>
        <w:rPr>
          <w:rFonts w:hint="eastAsia"/>
          <w:lang w:val="en-US" w:eastAsia="zh-CN"/>
        </w:rPr>
        <w:t>9</w:t>
      </w:r>
      <w:r>
        <w:rPr>
          <w:rFonts w:hint="eastAsia"/>
        </w:rPr>
        <w:t>年</w:t>
      </w:r>
      <w:r>
        <w:rPr>
          <w:rFonts w:hint="eastAsia"/>
          <w:lang w:val="en-US" w:eastAsia="zh-CN"/>
        </w:rPr>
        <w:t>1</w:t>
      </w:r>
      <w:r>
        <w:rPr>
          <w:rFonts w:hint="eastAsia"/>
        </w:rPr>
        <w:t>月，</w:t>
      </w:r>
      <w:r>
        <w:rPr>
          <w:rFonts w:hint="eastAsia"/>
          <w:color w:val="000000"/>
          <w:lang w:eastAsia="zh-CN"/>
        </w:rPr>
        <w:t>山东科源检测技术有限公司</w:t>
      </w:r>
      <w:r>
        <w:rPr>
          <w:rFonts w:hint="eastAsia"/>
        </w:rPr>
        <w:t>编制完成《</w:t>
      </w:r>
      <w:r>
        <w:rPr>
          <w:rFonts w:hint="eastAsia"/>
          <w:lang w:eastAsia="zh-CN"/>
        </w:rPr>
        <w:t>山东泰开电力开关有限公司喷漆房建设项目</w:t>
      </w:r>
      <w:r>
        <w:rPr>
          <w:rFonts w:hint="eastAsia"/>
        </w:rPr>
        <w:t>竣工环境保护验收</w:t>
      </w:r>
      <w:r>
        <w:rPr>
          <w:rFonts w:hint="eastAsia"/>
          <w:lang w:eastAsia="zh-CN"/>
        </w:rPr>
        <w:t>监测报告表</w:t>
      </w:r>
      <w:r>
        <w:rPr>
          <w:rFonts w:hint="eastAsia"/>
        </w:rPr>
        <w:t>》。</w:t>
      </w:r>
      <w:r>
        <w:rPr>
          <w:highlight w:val="none"/>
        </w:rPr>
        <w:t>201</w:t>
      </w:r>
      <w:r>
        <w:rPr>
          <w:rFonts w:hint="eastAsia"/>
          <w:highlight w:val="none"/>
          <w:lang w:val="en-US" w:eastAsia="zh-CN"/>
        </w:rPr>
        <w:t>9</w:t>
      </w:r>
      <w:r>
        <w:rPr>
          <w:rFonts w:hint="eastAsia"/>
          <w:highlight w:val="none"/>
        </w:rPr>
        <w:t>年</w:t>
      </w:r>
      <w:r>
        <w:rPr>
          <w:rFonts w:hint="eastAsia"/>
          <w:highlight w:val="none"/>
          <w:lang w:val="en-US" w:eastAsia="zh-CN"/>
        </w:rPr>
        <w:t>1</w:t>
      </w:r>
      <w:r>
        <w:rPr>
          <w:rFonts w:hint="eastAsia"/>
          <w:highlight w:val="none"/>
        </w:rPr>
        <w:t>月</w:t>
      </w:r>
      <w:r>
        <w:rPr>
          <w:rFonts w:hint="eastAsia"/>
          <w:highlight w:val="none"/>
          <w:lang w:val="en-US" w:eastAsia="zh-CN"/>
        </w:rPr>
        <w:t>21</w:t>
      </w:r>
      <w:r>
        <w:rPr>
          <w:rFonts w:hint="eastAsia"/>
          <w:highlight w:val="none"/>
        </w:rPr>
        <w:t>日，</w:t>
      </w:r>
      <w:r>
        <w:rPr>
          <w:rFonts w:hint="eastAsia"/>
        </w:rPr>
        <w:t>建设单位在泰安市组织有关单</w:t>
      </w:r>
      <w:r>
        <w:rPr>
          <w:rFonts w:hint="eastAsia"/>
          <w:color w:val="000000"/>
        </w:rPr>
        <w:t>位和专家召开了该项目竣工环境保护验收会议，形成了验收组意见</w:t>
      </w:r>
      <w:r>
        <w:rPr>
          <w:rFonts w:hint="eastAsia"/>
        </w:rPr>
        <w:t>。</w:t>
      </w:r>
    </w:p>
    <w:p>
      <w:pPr>
        <w:adjustRightInd w:val="0"/>
        <w:spacing w:line="560" w:lineRule="exact"/>
        <w:ind w:firstLine="643"/>
        <w:rPr>
          <w:b/>
          <w:bCs/>
          <w:color w:val="000000"/>
        </w:rPr>
      </w:pPr>
      <w:r>
        <w:rPr>
          <w:b/>
          <w:bCs/>
          <w:color w:val="000000"/>
        </w:rPr>
        <w:t>4</w:t>
      </w:r>
      <w:r>
        <w:rPr>
          <w:rFonts w:hint="eastAsia"/>
          <w:b/>
          <w:bCs/>
          <w:color w:val="000000"/>
        </w:rPr>
        <w:t>、公众反馈意见及处理情况</w:t>
      </w:r>
    </w:p>
    <w:p>
      <w:pPr>
        <w:adjustRightInd w:val="0"/>
        <w:spacing w:line="560" w:lineRule="exact"/>
        <w:ind w:firstLine="640"/>
      </w:pPr>
      <w:r>
        <w:rPr>
          <w:rFonts w:hint="eastAsia"/>
        </w:rPr>
        <w:t>工程“三同时”期间未收到过公众反馈环境意见或投诉。</w:t>
      </w:r>
    </w:p>
    <w:p>
      <w:pPr>
        <w:spacing w:line="560" w:lineRule="exact"/>
        <w:ind w:firstLine="413" w:firstLineChars="197"/>
        <w:rPr>
          <w:rFonts w:ascii="黑体" w:eastAsia="黑体"/>
        </w:rPr>
      </w:pPr>
      <w:r>
        <w:rPr>
          <w:rFonts w:hint="eastAsia" w:ascii="黑体" w:eastAsia="黑体" w:cs="黑体"/>
        </w:rPr>
        <w:t>二、其他环境保护措施的落实情况</w:t>
      </w:r>
    </w:p>
    <w:p>
      <w:pPr>
        <w:adjustRightInd w:val="0"/>
        <w:spacing w:line="560" w:lineRule="exact"/>
        <w:ind w:firstLine="643"/>
        <w:rPr>
          <w:b/>
          <w:bCs/>
        </w:rPr>
      </w:pPr>
      <w:r>
        <w:rPr>
          <w:b/>
          <w:bCs/>
        </w:rPr>
        <w:t>1</w:t>
      </w:r>
      <w:r>
        <w:rPr>
          <w:rFonts w:hint="eastAsia"/>
          <w:b/>
          <w:bCs/>
        </w:rPr>
        <w:t>、环保组织机构及规章制度</w:t>
      </w:r>
    </w:p>
    <w:p>
      <w:pPr>
        <w:adjustRightInd w:val="0"/>
        <w:spacing w:line="560" w:lineRule="exact"/>
        <w:ind w:firstLine="640"/>
      </w:pPr>
      <w:r>
        <w:rPr>
          <w:rFonts w:hint="eastAsia"/>
        </w:rPr>
        <w:t>按环评要求公司设置环保科，设置人员专职负责环保管理，对全厂统一管理，负责全厂的环境管理、环境监测和事故应急处理。</w:t>
      </w:r>
    </w:p>
    <w:p>
      <w:pPr>
        <w:adjustRightInd w:val="0"/>
        <w:spacing w:line="560" w:lineRule="exact"/>
        <w:ind w:firstLine="643"/>
        <w:rPr>
          <w:b/>
          <w:bCs/>
        </w:rPr>
      </w:pPr>
      <w:r>
        <w:rPr>
          <w:b/>
          <w:bCs/>
        </w:rPr>
        <w:t>2</w:t>
      </w:r>
      <w:r>
        <w:rPr>
          <w:rFonts w:hint="eastAsia"/>
          <w:b/>
          <w:bCs/>
        </w:rPr>
        <w:t>、环境风险防范措施</w:t>
      </w:r>
    </w:p>
    <w:p>
      <w:pPr>
        <w:adjustRightInd w:val="0"/>
        <w:spacing w:line="560" w:lineRule="exact"/>
        <w:ind w:firstLine="640"/>
      </w:pPr>
      <w:r>
        <w:rPr>
          <w:rFonts w:hint="eastAsia"/>
        </w:rPr>
        <w:t>制定了相应的环境风险防范措施。</w:t>
      </w:r>
    </w:p>
    <w:p>
      <w:pPr>
        <w:adjustRightInd w:val="0"/>
        <w:spacing w:line="560" w:lineRule="exact"/>
        <w:ind w:firstLine="643"/>
        <w:rPr>
          <w:b/>
          <w:bCs/>
        </w:rPr>
      </w:pPr>
      <w:r>
        <w:rPr>
          <w:b/>
          <w:bCs/>
        </w:rPr>
        <w:t>3</w:t>
      </w:r>
      <w:r>
        <w:rPr>
          <w:rFonts w:hint="eastAsia"/>
          <w:b/>
          <w:bCs/>
        </w:rPr>
        <w:t>、环境监测计划</w:t>
      </w:r>
    </w:p>
    <w:p>
      <w:pPr>
        <w:adjustRightInd w:val="0"/>
        <w:spacing w:line="560" w:lineRule="exact"/>
        <w:ind w:firstLine="640"/>
      </w:pPr>
      <w:r>
        <w:rPr>
          <w:rFonts w:hint="eastAsia"/>
        </w:rPr>
        <w:t>委托</w:t>
      </w:r>
      <w:r>
        <w:rPr>
          <w:rFonts w:hint="eastAsia"/>
          <w:color w:val="000000"/>
          <w:lang w:eastAsia="zh-CN"/>
        </w:rPr>
        <w:t>山东科源检测技术有限公司</w:t>
      </w:r>
      <w:r>
        <w:rPr>
          <w:rFonts w:hint="eastAsia"/>
        </w:rPr>
        <w:t>进行第三方检测，监测结果均符合标准要求。</w:t>
      </w:r>
    </w:p>
    <w:p>
      <w:pPr>
        <w:adjustRightInd w:val="0"/>
        <w:spacing w:line="560" w:lineRule="exact"/>
        <w:ind w:firstLine="643"/>
        <w:rPr>
          <w:color w:val="000000"/>
        </w:rPr>
      </w:pPr>
      <w:r>
        <w:rPr>
          <w:b/>
          <w:bCs/>
        </w:rPr>
        <w:t>4</w:t>
      </w:r>
      <w:r>
        <w:rPr>
          <w:rFonts w:hint="eastAsia"/>
          <w:b/>
          <w:bCs/>
        </w:rPr>
        <w:t>、整改完成情况</w:t>
      </w:r>
    </w:p>
    <w:p>
      <w:pPr>
        <w:adjustRightInd w:val="0"/>
        <w:spacing w:line="560" w:lineRule="exact"/>
        <w:ind w:left="630" w:leftChars="300" w:firstLine="4" w:firstLineChars="2"/>
        <w:rPr>
          <w:rFonts w:hint="eastAsia" w:ascii="Times New Roman" w:hAnsi="Times New Roman" w:cs="Times New Roman"/>
          <w:color w:val="000000"/>
          <w:lang w:eastAsia="zh-CN"/>
        </w:rPr>
      </w:pPr>
      <w:r>
        <w:rPr>
          <w:rFonts w:hint="eastAsia" w:ascii="Times New Roman" w:hAnsi="Times New Roman" w:cs="Times New Roman"/>
          <w:color w:val="000000"/>
          <w:lang w:eastAsia="zh-CN"/>
        </w:rPr>
        <w:t>按照验收组的要求，主要做了如下整改：</w:t>
      </w:r>
    </w:p>
    <w:p>
      <w:pPr>
        <w:numPr>
          <w:ilvl w:val="0"/>
          <w:numId w:val="0"/>
        </w:numPr>
        <w:adjustRightInd w:val="0"/>
        <w:spacing w:line="560" w:lineRule="exact"/>
        <w:ind w:firstLine="420" w:firstLineChars="200"/>
        <w:rPr>
          <w:rFonts w:hint="eastAsia" w:ascii="Times New Roman" w:hAnsi="Times New Roman" w:cs="Times New Roman"/>
          <w:color w:val="000000"/>
          <w:lang w:val="en-US" w:eastAsia="zh-CN"/>
        </w:rPr>
      </w:pPr>
      <w:r>
        <w:rPr>
          <w:rFonts w:hint="eastAsia" w:ascii="Times New Roman" w:hAnsi="Times New Roman" w:cs="Times New Roman"/>
          <w:color w:val="000000"/>
          <w:lang w:val="en-US" w:eastAsia="zh-CN"/>
        </w:rPr>
        <w:t>1、</w:t>
      </w:r>
      <w:r>
        <w:rPr>
          <w:rFonts w:hint="eastAsia" w:cs="Times New Roman"/>
          <w:color w:val="000000"/>
          <w:lang w:val="en-US" w:eastAsia="zh-CN"/>
        </w:rPr>
        <w:t>喷漆废气处理设施中加大了活性炭用量，</w:t>
      </w:r>
      <w:r>
        <w:rPr>
          <w:rFonts w:hint="eastAsia" w:ascii="Times New Roman" w:hAnsi="Times New Roman" w:cs="Times New Roman"/>
          <w:color w:val="000000"/>
          <w:lang w:val="en-US" w:eastAsia="zh-CN"/>
        </w:rPr>
        <w:t>喷漆设备共安装活性炭200kg，更换周期为一个月1次。</w:t>
      </w:r>
    </w:p>
    <w:p>
      <w:pPr>
        <w:numPr>
          <w:ilvl w:val="0"/>
          <w:numId w:val="0"/>
        </w:numPr>
        <w:adjustRightInd w:val="0"/>
        <w:spacing w:line="560" w:lineRule="exact"/>
        <w:ind w:firstLine="420" w:firstLineChars="200"/>
        <w:rPr>
          <w:rFonts w:hint="eastAsia" w:ascii="Times New Roman" w:hAnsi="Times New Roman" w:cs="Times New Roman"/>
          <w:color w:val="000000"/>
          <w:lang w:eastAsia="zh-CN"/>
        </w:rPr>
      </w:pPr>
      <w:r>
        <w:rPr>
          <w:rFonts w:hint="eastAsia" w:cs="Times New Roman"/>
          <w:color w:val="000000"/>
          <w:lang w:val="en-US" w:eastAsia="zh-CN"/>
        </w:rPr>
        <w:t>2、</w:t>
      </w:r>
      <w:r>
        <w:rPr>
          <w:rFonts w:hint="eastAsia" w:ascii="Times New Roman" w:hAnsi="Times New Roman" w:cs="Times New Roman"/>
          <w:color w:val="000000"/>
          <w:lang w:eastAsia="zh-CN"/>
        </w:rPr>
        <w:t>喷漆车间地面</w:t>
      </w:r>
      <w:r>
        <w:rPr>
          <w:rFonts w:hint="eastAsia" w:cs="Times New Roman"/>
          <w:color w:val="000000"/>
          <w:lang w:eastAsia="zh-CN"/>
        </w:rPr>
        <w:t>已</w:t>
      </w:r>
      <w:r>
        <w:rPr>
          <w:rFonts w:hint="eastAsia" w:ascii="Times New Roman" w:hAnsi="Times New Roman" w:cs="Times New Roman"/>
          <w:color w:val="000000"/>
          <w:lang w:eastAsia="zh-CN"/>
        </w:rPr>
        <w:t>做好防水防渗措施</w:t>
      </w:r>
      <w:r>
        <w:rPr>
          <w:rFonts w:hint="eastAsia" w:cs="Times New Roman"/>
          <w:color w:val="000000"/>
          <w:lang w:eastAsia="zh-CN"/>
        </w:rPr>
        <w:t>。</w:t>
      </w:r>
    </w:p>
    <w:p>
      <w:pPr>
        <w:numPr>
          <w:ilvl w:val="0"/>
          <w:numId w:val="0"/>
        </w:numPr>
        <w:adjustRightInd w:val="0"/>
        <w:spacing w:line="560" w:lineRule="exact"/>
        <w:ind w:firstLine="420" w:firstLineChars="200"/>
        <w:rPr>
          <w:rFonts w:hint="eastAsia" w:ascii="Times New Roman" w:hAnsi="Times New Roman" w:cs="Times New Roman"/>
          <w:color w:val="000000"/>
          <w:lang w:val="en-US" w:eastAsia="zh-CN"/>
        </w:rPr>
      </w:pPr>
      <w:r>
        <w:rPr>
          <w:rFonts w:hint="eastAsia" w:cs="Times New Roman"/>
          <w:color w:val="000000"/>
          <w:lang w:val="en-US" w:eastAsia="zh-CN"/>
        </w:rPr>
        <w:t>3、已对危废暂存间标识进行了规范</w:t>
      </w:r>
      <w:r>
        <w:rPr>
          <w:rFonts w:hint="eastAsia" w:cs="Times New Roman"/>
          <w:color w:val="000000"/>
          <w:lang w:eastAsia="zh-CN"/>
        </w:rPr>
        <w:t>。</w:t>
      </w:r>
    </w:p>
    <w:p>
      <w:pPr>
        <w:numPr>
          <w:ilvl w:val="0"/>
          <w:numId w:val="0"/>
        </w:numPr>
        <w:adjustRightInd w:val="0"/>
        <w:spacing w:line="560" w:lineRule="exact"/>
        <w:rPr>
          <w:rFonts w:hint="eastAsia" w:ascii="Times New Roman" w:hAnsi="Times New Roman" w:cs="Times New Roman"/>
          <w:color w:val="000000"/>
          <w:lang w:eastAsia="zh-CN"/>
        </w:rPr>
      </w:pPr>
      <w:r>
        <w:rPr>
          <w:rFonts w:hint="eastAsia" w:ascii="Times New Roman" w:hAnsi="Times New Roman" w:cs="Times New Roman"/>
          <w:color w:val="000000"/>
          <w:lang w:eastAsia="zh-CN"/>
        </w:rPr>
        <w:t xml:space="preserve"> </w:t>
      </w:r>
    </w:p>
    <w:p>
      <w:pPr>
        <w:ind w:firstLine="210" w:firstLineChars="100"/>
        <w:jc w:val="left"/>
        <w:rPr>
          <w:color w:val="000000"/>
        </w:rPr>
      </w:pPr>
      <w:r>
        <w:rPr>
          <w:rFonts w:hint="eastAsia"/>
          <w:color w:val="000000"/>
        </w:rPr>
        <w:t xml:space="preserve">  </w:t>
      </w:r>
    </w:p>
    <w:p>
      <w:pPr>
        <w:adjustRightInd w:val="0"/>
        <w:spacing w:line="560" w:lineRule="exact"/>
        <w:ind w:firstLine="640"/>
        <w:jc w:val="center"/>
      </w:pPr>
    </w:p>
    <w:p>
      <w:pPr>
        <w:adjustRightInd w:val="0"/>
        <w:spacing w:line="560" w:lineRule="exact"/>
        <w:ind w:firstLine="640"/>
        <w:jc w:val="center"/>
        <w:rPr>
          <w:rFonts w:hint="eastAsia" w:eastAsia="宋体"/>
          <w:lang w:eastAsia="zh-CN"/>
        </w:rPr>
      </w:pPr>
      <w:r>
        <w:t xml:space="preserve">                           </w:t>
      </w:r>
      <w:r>
        <w:rPr>
          <w:rFonts w:hint="eastAsia"/>
        </w:rPr>
        <w:t xml:space="preserve">  </w:t>
      </w:r>
      <w:r>
        <w:t xml:space="preserve">     </w:t>
      </w:r>
      <w:r>
        <w:rPr>
          <w:rFonts w:hint="eastAsia"/>
        </w:rPr>
        <w:t xml:space="preserve"> </w:t>
      </w:r>
      <w:r>
        <w:rPr>
          <w:rFonts w:hint="eastAsia"/>
          <w:lang w:eastAsia="zh-CN"/>
        </w:rPr>
        <w:t>山东泰开电力开关有限公司</w:t>
      </w:r>
    </w:p>
    <w:p>
      <w:pPr>
        <w:adjustRightInd w:val="0"/>
        <w:spacing w:line="560" w:lineRule="exact"/>
        <w:ind w:firstLine="640"/>
        <w:jc w:val="center"/>
      </w:pPr>
      <w:r>
        <w:rPr>
          <w:rFonts w:hint="eastAsia"/>
        </w:rPr>
        <w:t xml:space="preserve">               </w:t>
      </w:r>
      <w:r>
        <w:t xml:space="preserve">                      201</w:t>
      </w:r>
      <w:r>
        <w:rPr>
          <w:rFonts w:hint="eastAsia"/>
          <w:lang w:val="en-US" w:eastAsia="zh-CN"/>
        </w:rPr>
        <w:t>9</w:t>
      </w:r>
      <w:r>
        <w:rPr>
          <w:rFonts w:hint="eastAsia"/>
        </w:rPr>
        <w:t>年</w:t>
      </w:r>
      <w:r>
        <w:rPr>
          <w:rFonts w:hint="eastAsia"/>
          <w:lang w:val="en-US" w:eastAsia="zh-CN"/>
        </w:rPr>
        <w:t>1</w:t>
      </w:r>
      <w:bookmarkStart w:id="0" w:name="_GoBack"/>
      <w:bookmarkEnd w:id="0"/>
      <w:r>
        <w:rPr>
          <w:rFonts w:hint="eastAsia"/>
        </w:rPr>
        <w:t>月</w:t>
      </w:r>
      <w: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altName w:val="Arial Unicode MS"/>
    <w:panose1 w:val="02010609060101010101"/>
    <w:charset w:val="86"/>
    <w:family w:val="auto"/>
    <w:pitch w:val="default"/>
    <w:sig w:usb0="00000000" w:usb1="00000000"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E26"/>
    <w:rsid w:val="00203C09"/>
    <w:rsid w:val="002044E3"/>
    <w:rsid w:val="00406EFD"/>
    <w:rsid w:val="004E0E26"/>
    <w:rsid w:val="005B0573"/>
    <w:rsid w:val="00601FB9"/>
    <w:rsid w:val="00C112BF"/>
    <w:rsid w:val="00CB4E58"/>
    <w:rsid w:val="00EC322D"/>
    <w:rsid w:val="00FD4186"/>
    <w:rsid w:val="012C0646"/>
    <w:rsid w:val="01DB7850"/>
    <w:rsid w:val="05536E0E"/>
    <w:rsid w:val="06D97AD5"/>
    <w:rsid w:val="0A1D49C4"/>
    <w:rsid w:val="0E4309BA"/>
    <w:rsid w:val="10DD4D99"/>
    <w:rsid w:val="1777547D"/>
    <w:rsid w:val="18105440"/>
    <w:rsid w:val="1E50127F"/>
    <w:rsid w:val="1E954C7E"/>
    <w:rsid w:val="22CF5F1B"/>
    <w:rsid w:val="26BA2C0D"/>
    <w:rsid w:val="292B4275"/>
    <w:rsid w:val="29BA7F56"/>
    <w:rsid w:val="2ABC76A6"/>
    <w:rsid w:val="2FC224F0"/>
    <w:rsid w:val="33D4153A"/>
    <w:rsid w:val="3ABD59A1"/>
    <w:rsid w:val="41F766B5"/>
    <w:rsid w:val="4A4A3AB6"/>
    <w:rsid w:val="503023E2"/>
    <w:rsid w:val="50AF5A57"/>
    <w:rsid w:val="50F24D13"/>
    <w:rsid w:val="5AF1001C"/>
    <w:rsid w:val="601033F1"/>
    <w:rsid w:val="604464FB"/>
    <w:rsid w:val="69653EF3"/>
    <w:rsid w:val="6AFE13EB"/>
    <w:rsid w:val="6C25142E"/>
    <w:rsid w:val="714946E6"/>
    <w:rsid w:val="74F407D9"/>
    <w:rsid w:val="756812BE"/>
    <w:rsid w:val="76CD4468"/>
    <w:rsid w:val="799B157E"/>
    <w:rsid w:val="79EA0498"/>
    <w:rsid w:val="7E7567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character" w:customStyle="1" w:styleId="8">
    <w:name w:val="fontstyle01"/>
    <w:basedOn w:val="5"/>
    <w:qFormat/>
    <w:uiPriority w:val="0"/>
    <w:rPr>
      <w:rFonts w:ascii="仿宋" w:hAnsi="仿宋" w:eastAsia="仿宋" w:cs="仿宋"/>
      <w:color w:val="00000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150</Words>
  <Characters>857</Characters>
  <Lines>7</Lines>
  <Paragraphs>2</Paragraphs>
  <TotalTime>4</TotalTime>
  <ScaleCrop>false</ScaleCrop>
  <LinksUpToDate>false</LinksUpToDate>
  <CharactersWithSpaces>1005</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2018-04-10T09:01:00Z</dcterms:created>
  <dc:creator>lenovo</dc:creator>
  <cp:lastModifiedBy>Administrator</cp:lastModifiedBy>
  <dcterms:modified xsi:type="dcterms:W3CDTF">2019-03-01T01:05:58Z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