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-1800"/>
        <w:tblW w:w="111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94"/>
        <w:gridCol w:w="1167"/>
        <w:gridCol w:w="1112"/>
        <w:gridCol w:w="1616"/>
        <w:gridCol w:w="1616"/>
        <w:gridCol w:w="2086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危废名称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危险废物代码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产生总量（T）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年委外处理量（T）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委外处置信息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年底存储量（T）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有机溶剂废液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900-404-06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9.911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9.911</w:t>
            </w:r>
          </w:p>
        </w:tc>
        <w:tc>
          <w:tcPr>
            <w:tcW w:w="20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深圳市绿绿达环保有限公司（危险废物经营许可证编号：440307220609）/惠州东江威立雅环境服务有限公司（危险废物经营许可证编号：441323160831）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废机油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900-249-08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0.416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精（蒸）馏残渣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900-013-11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树脂废物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900-015-13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4.296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水处理污泥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336-064-17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1.732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废活性炭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900-039-49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1.851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1.876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废空容器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900-041-49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3.558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3.458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废包装桶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900-041-49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1.514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废电容器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900-041-49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0.595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实验室废物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900-047-49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9.7335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9.5335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实验室废液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900-047-49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40.1515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40.1515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实验室废液（电解液）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900-047-49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5.5485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5.5485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废弃化学品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900-999-49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79.3065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79.0315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7991" w:type="dxa"/>
          <w:trHeight w:val="558" w:hRule="atLeast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废物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产生总量（T）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年委外处理量（T）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委外处置单位信息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年底存储量（T）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废钢铁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900-001-S17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14.35</w:t>
            </w:r>
          </w:p>
        </w:tc>
        <w:tc>
          <w:tcPr>
            <w:tcW w:w="20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深圳市陆陂再生资源有限公司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废木材及相关制品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900-009-S17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900-005-S17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废塑料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900-003-S17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2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/>
    <w:sectPr>
      <w:pgSz w:w="16838" w:h="11906" w:orient="landscape"/>
      <w:pgMar w:top="238" w:right="873" w:bottom="244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A5"/>
    <w:rsid w:val="00020A5F"/>
    <w:rsid w:val="001E1DD9"/>
    <w:rsid w:val="005354E6"/>
    <w:rsid w:val="00BD0F04"/>
    <w:rsid w:val="00DE64F2"/>
    <w:rsid w:val="00E87CA5"/>
    <w:rsid w:val="18231FDD"/>
    <w:rsid w:val="282E5717"/>
    <w:rsid w:val="2BBC5CF6"/>
    <w:rsid w:val="70722970"/>
    <w:rsid w:val="7BC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2022-01-14T00:46:00Z</dcterms:created>
  <dc:creator>卢松</dc:creator>
  <cp:lastModifiedBy>song.lu</cp:lastModifiedBy>
  <dcterms:modified xsi:type="dcterms:W3CDTF">2024-04-08T00:39:01Z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E2EDE460AEEB4B30B8D4635C899FCB87</vt:lpwstr>
  </property>
</Properties>
</file>