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7"/>
        <w:framePr w:wrap="around"/>
      </w:pPr>
      <w:bookmarkStart w:id="0" w:name="_Hlk26473981"/>
      <w:r>
        <w:t>ICS</w:t>
      </w:r>
      <w:r>
        <w:rPr>
          <w:rFonts w:hAnsi="黑体"/>
        </w:rPr>
        <w:t> </w:t>
      </w:r>
      <w:r>
        <w:fldChar w:fldCharType="begin">
          <w:ffData>
            <w:name w:val="ICS"/>
            <w:enabled/>
            <w:calcOnExit w:val="0"/>
            <w:helpText w:type="text" w:val="请输入正确的ICS号："/>
            <w:textInput>
              <w:default w:val="03.220.01"/>
            </w:textInput>
          </w:ffData>
        </w:fldChar>
      </w:r>
      <w:r>
        <w:instrText xml:space="preserve"> </w:instrText>
      </w:r>
      <w:bookmarkStart w:id="1" w:name="ICS"/>
      <w:r>
        <w:instrText xml:space="preserve">FORMTEXT </w:instrText>
      </w:r>
      <w:r>
        <w:fldChar w:fldCharType="separate"/>
      </w:r>
      <w:r>
        <w:t>03.220.01</w:t>
      </w:r>
      <w:r>
        <w:fldChar w:fldCharType="end"/>
      </w:r>
      <w:bookmarkEnd w:id="1"/>
    </w:p>
    <w:p>
      <w:pPr>
        <w:pStyle w:val="157"/>
        <w:framePr w:wrap="around"/>
      </w:pPr>
      <w:bookmarkStart w:id="2" w:name="WXFLH"/>
      <w:r>
        <w:t>C</w:t>
      </w:r>
      <w:r>
        <w:rPr>
          <w:rFonts w:hint="eastAsia"/>
        </w:rPr>
        <w:t>C</w:t>
      </w:r>
      <w:r>
        <w:t>S</w:t>
      </w:r>
      <w:r>
        <w:rPr>
          <w:rFonts w:hint="eastAsia"/>
        </w:rPr>
        <w:t xml:space="preserve"> </w:t>
      </w:r>
      <w:r>
        <w:fldChar w:fldCharType="begin">
          <w:ffData>
            <w:name w:val="WXFLH"/>
            <w:enabled/>
            <w:calcOnExit w:val="0"/>
            <w:helpText w:type="text" w:val="请输入中国标准文献分类号："/>
            <w:textInput>
              <w:default w:val="A 20"/>
            </w:textInput>
          </w:ffData>
        </w:fldChar>
      </w:r>
      <w:r>
        <w:instrText xml:space="preserve"> FORMTEXT </w:instrText>
      </w:r>
      <w:r>
        <w:fldChar w:fldCharType="separate"/>
      </w:r>
      <w:r>
        <w:t xml:space="preserve">A </w:t>
      </w:r>
      <w:r>
        <w:rPr>
          <w:rFonts w:hint="eastAsia"/>
        </w:rPr>
        <w:t>8</w:t>
      </w:r>
      <w:r>
        <w:t>0</w:t>
      </w:r>
      <w:r>
        <w:fldChar w:fldCharType="end"/>
      </w:r>
      <w:bookmarkEnd w:id="2"/>
    </w:p>
    <w:tbl>
      <w:tblPr>
        <w:tblStyle w:val="27"/>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tcBorders>
              <w:top w:val="nil"/>
              <w:left w:val="nil"/>
              <w:bottom w:val="nil"/>
              <w:right w:val="nil"/>
            </w:tcBorders>
            <w:shd w:val="clear" w:color="auto" w:fill="auto"/>
          </w:tcPr>
          <w:p>
            <w:pPr>
              <w:pStyle w:val="157"/>
              <w:framePr w:wrap="around"/>
            </w:pPr>
            <w: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9525" b="5080"/>
                      <wp:wrapNone/>
                      <wp:docPr id="8"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K4v7NUAAAAHAQAADwAAAAAAAAAB&#10;ACAAAAAiAAAAZHJzL2Rvd25yZXYueG1sUEsBAhQAFAAAAAgAh07iQJl+BuATAgAAKwQAAA4AAAAA&#10;AAAAAQAgAAAAJAEAAGRycy9lMm9Eb2MueG1sUEsFBgAAAAAGAAYAWQEAAKkFAAAAAA==&#10;">
                      <v:fill on="t" focussize="0,0"/>
                      <v:stroke on="f"/>
                      <v:imagedata o:title=""/>
                      <o:lock v:ext="edit" aspectratio="f"/>
                      <v:textbox>
                        <w:txbxContent>
                          <w:p>
                            <w:pPr>
                              <w:jc w:val="center"/>
                            </w:pPr>
                          </w:p>
                        </w:txbxContent>
                      </v:textbox>
                    </v:rect>
                  </w:pict>
                </mc:Fallback>
              </mc:AlternateContent>
            </w:r>
          </w:p>
        </w:tc>
      </w:tr>
    </w:tbl>
    <w:p>
      <w:pPr>
        <w:pStyle w:val="51"/>
        <w:framePr w:w="9639" w:h="624" w:hRule="exact" w:hSpace="181" w:vSpace="181" w:wrap="around" w:hAnchor="page" w:x="1305" w:y="2269"/>
        <w:rPr>
          <w:rFonts w:ascii="黑体" w:hAnsi="黑体" w:eastAsia="黑体"/>
          <w:b w:val="0"/>
          <w:bCs w:val="0"/>
          <w:w w:val="100"/>
          <w:sz w:val="48"/>
          <w:szCs w:val="48"/>
        </w:rPr>
      </w:pPr>
      <w:r>
        <w:rPr>
          <w:rFonts w:hint="eastAsia" w:ascii="黑体" w:eastAsia="黑体"/>
          <w:b w:val="0"/>
          <w:w w:val="100"/>
          <w:sz w:val="48"/>
        </w:rPr>
        <w:t>团体</w:t>
      </w:r>
      <w:r>
        <w:rPr>
          <w:rFonts w:hint="eastAsia" w:ascii="黑体" w:hAnsi="黑体" w:eastAsia="黑体"/>
          <w:b w:val="0"/>
          <w:bCs w:val="0"/>
          <w:w w:val="100"/>
          <w:sz w:val="48"/>
          <w:szCs w:val="48"/>
        </w:rPr>
        <w:t>标准</w:t>
      </w:r>
    </w:p>
    <w:bookmarkEnd w:id="0"/>
    <w:p>
      <w:pPr>
        <w:pStyle w:val="196"/>
        <w:framePr/>
      </w:pPr>
      <w:r>
        <w:t>T/</w:t>
      </w:r>
      <w:r>
        <w:fldChar w:fldCharType="begin">
          <w:ffData>
            <w:name w:val="文字1"/>
            <w:enabled/>
            <w:calcOnExit w:val="0"/>
            <w:textInput>
              <w:default w:val="XXX"/>
            </w:textInput>
          </w:ffData>
        </w:fldChar>
      </w:r>
      <w:bookmarkStart w:id="3" w:name="文字1"/>
      <w:r>
        <w:instrText xml:space="preserve"> FORMTEXT </w:instrText>
      </w:r>
      <w:r>
        <w:fldChar w:fldCharType="separate"/>
      </w:r>
      <w:r>
        <w:t>XXX</w:t>
      </w:r>
      <w:r>
        <w:fldChar w:fldCharType="end"/>
      </w:r>
      <w:bookmarkEnd w:id="3"/>
      <w:r>
        <w:t xml:space="preserve"> </w:t>
      </w:r>
      <w:r>
        <w:fldChar w:fldCharType="begin">
          <w:ffData>
            <w:name w:val="NSTD_CODE_F"/>
            <w:enabled/>
            <w:calcOnExit w:val="0"/>
            <w:textInput>
              <w:default w:val="XXXX"/>
            </w:textInput>
          </w:ffData>
        </w:fldChar>
      </w:r>
      <w:bookmarkStart w:id="4" w:name="NSTD_CODE_F"/>
      <w:r>
        <w:instrText xml:space="preserve"> FORMTEXT </w:instrText>
      </w:r>
      <w:r>
        <w:fldChar w:fldCharType="separate"/>
      </w:r>
      <w:r>
        <w:t>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pPr>
        <w:pStyle w:val="197"/>
        <w:framePr/>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医疗器械医院院内物流服务质量评价</w:t>
      </w:r>
      <w:r>
        <w:fldChar w:fldCharType="end"/>
      </w:r>
      <w:bookmarkEnd w:id="7"/>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bookmarkStart w:id="8" w:name="ESTD_NAME"/>
      <w:r>
        <w:rPr>
          <w:rFonts w:eastAsia="黑体"/>
          <w:szCs w:val="28"/>
        </w:rPr>
        <w:fldChar w:fldCharType="begin">
          <w:ffData>
            <w:name w:val="ESTD_NAME"/>
            <w:enabled/>
            <w:calcOnExit w:val="0"/>
            <w:textInput>
              <w:default w:val="Quality evaluation for hospital integrated logistics services of medical equipment"/>
            </w:textInput>
          </w:ffData>
        </w:fldChar>
      </w:r>
      <w:r>
        <w:rPr>
          <w:rFonts w:eastAsia="黑体"/>
          <w:szCs w:val="28"/>
        </w:rPr>
        <w:instrText xml:space="preserve">FORMTEXT</w:instrText>
      </w:r>
      <w:r>
        <w:rPr>
          <w:rFonts w:eastAsia="黑体"/>
          <w:szCs w:val="28"/>
        </w:rPr>
        <w:fldChar w:fldCharType="separate"/>
      </w:r>
      <w:r>
        <w:rPr>
          <w:rFonts w:eastAsia="黑体"/>
          <w:szCs w:val="28"/>
        </w:rPr>
        <w:t>Quality evaluation for hospital integrated logistics services of medical equipment</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rFonts w:hint="eastAsia"/>
          <w:sz w:val="24"/>
          <w:szCs w:val="28"/>
        </w:rPr>
        <w:t>（工作组讨论稿）</w:t>
      </w:r>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val="0"/>
            <w:calcOnExit/>
            <w:textInput/>
          </w:ffData>
        </w:fldChar>
      </w:r>
      <w:bookmarkStart w:id="9"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9"/>
    </w:p>
    <w:p>
      <w:pPr>
        <w:pStyle w:val="126"/>
        <w:framePr w:w="9639" w:h="6974" w:hRule="exact" w:wrap="around" w:vAnchor="page" w:hAnchor="page" w:x="1419" w:y="6408" w:anchorLock="1"/>
        <w:spacing w:before="720" w:beforeLines="300" w:after="72" w:afterLines="30" w:line="240" w:lineRule="auto"/>
        <w:textAlignment w:val="bottom"/>
        <w:rPr>
          <w:b/>
          <w:sz w:val="21"/>
          <w:szCs w:val="28"/>
        </w:rPr>
      </w:pPr>
      <w:bookmarkStart w:id="10" w:name="下拉2"/>
      <w:r>
        <w:rPr>
          <w:b/>
          <w:sz w:val="21"/>
          <w:szCs w:val="28"/>
        </w:rPr>
        <w:fldChar w:fldCharType="begin">
          <w:ffData>
            <w:name w:val="下拉2"/>
            <w:enabled/>
            <w:calcOnExit w:val="0"/>
            <w:ddList>
              <w:listEntry w:val=" "/>
              <w:listEntry w:val="在提交反馈意见时，请将您知道的相关专利连同支持性文件一并附上。"/>
            </w:ddList>
          </w:ffData>
        </w:fldChar>
      </w:r>
      <w:r>
        <w:rPr>
          <w:b/>
          <w:sz w:val="21"/>
          <w:szCs w:val="28"/>
        </w:rPr>
        <w:instrText xml:space="preserve">FORMDROPDOWN</w:instrText>
      </w:r>
      <w:r>
        <w:rPr>
          <w:b/>
          <w:sz w:val="21"/>
          <w:szCs w:val="28"/>
        </w:rPr>
        <w:fldChar w:fldCharType="separate"/>
      </w:r>
      <w:r>
        <w:rPr>
          <w:b/>
          <w:sz w:val="21"/>
          <w:szCs w:val="28"/>
        </w:rPr>
        <w:fldChar w:fldCharType="end"/>
      </w:r>
      <w:bookmarkEnd w:id="10"/>
    </w:p>
    <w:p>
      <w:pPr>
        <w:pStyle w:val="194"/>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ascii="黑体"/>
        </w:rPr>
        <w:t>    </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pStyle w:val="152"/>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 国 物 流 与 采 购 联 合 会</w:t>
      </w:r>
      <w:r>
        <w:rPr>
          <w:rFonts w:hAnsi="黑体"/>
          <w:w w:val="100"/>
          <w:sz w:val="28"/>
        </w:rPr>
        <w:fldChar w:fldCharType="end"/>
      </w:r>
      <w:bookmarkEnd w:id="17"/>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0"/>
        <w:spacing w:after="360"/>
      </w:pPr>
      <w:bookmarkStart w:id="18" w:name="BookMark2"/>
      <w:r>
        <w:rPr>
          <w:spacing w:val="320"/>
        </w:rPr>
        <w:t>前</w:t>
      </w:r>
      <w:r>
        <w:t>言</w:t>
      </w:r>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请注意本文件的某些内容可能涉及专利。本文件的发布机构不承担识别专利的责任。</w:t>
      </w:r>
    </w:p>
    <w:p>
      <w:pPr>
        <w:pStyle w:val="57"/>
        <w:ind w:firstLine="420"/>
      </w:pPr>
      <w:r>
        <w:rPr>
          <w:rFonts w:hint="eastAsia"/>
        </w:rPr>
        <w:t>本文件由中国物流与采购联合会提出。</w:t>
      </w:r>
    </w:p>
    <w:p>
      <w:pPr>
        <w:pStyle w:val="57"/>
        <w:ind w:firstLine="420"/>
      </w:pPr>
      <w:r>
        <w:rPr>
          <w:rFonts w:hint="eastAsia"/>
        </w:rPr>
        <w:t>本文件由中国物流与采购联合会团体标准化技术委员会归口。</w:t>
      </w:r>
    </w:p>
    <w:p>
      <w:pPr>
        <w:pStyle w:val="57"/>
        <w:ind w:firstLine="420"/>
      </w:pPr>
      <w:r>
        <w:rPr>
          <w:rFonts w:hint="eastAsia"/>
        </w:rPr>
        <w:t>本文件起草单位：</w:t>
      </w:r>
    </w:p>
    <w:p>
      <w:pPr>
        <w:pStyle w:val="57"/>
        <w:ind w:firstLine="420"/>
      </w:pPr>
      <w:r>
        <w:rPr>
          <w:rFonts w:hint="eastAsia"/>
        </w:rPr>
        <w:t>本文件主要起草人：</w:t>
      </w:r>
      <w:bookmarkStart w:id="43" w:name="_GoBack"/>
      <w:bookmarkEnd w:id="43"/>
    </w:p>
    <w:p>
      <w:pPr>
        <w:pStyle w:val="57"/>
        <w:ind w:firstLine="420"/>
      </w:pPr>
    </w:p>
    <w:p>
      <w:pPr>
        <w:pStyle w:val="57"/>
        <w:ind w:firstLine="420"/>
      </w:pPr>
    </w:p>
    <w:p>
      <w:pPr>
        <w:pStyle w:val="57"/>
        <w:ind w:firstLine="420"/>
      </w:pPr>
    </w:p>
    <w:p>
      <w:pPr>
        <w:autoSpaceDE w:val="0"/>
        <w:autoSpaceDN w:val="0"/>
        <w:ind w:firstLine="420" w:firstLineChars="200"/>
        <w:rPr>
          <w:rFonts w:ascii="黑体" w:hAnsi="黑体" w:eastAsia="黑体" w:cs="黑体"/>
        </w:rPr>
      </w:pPr>
      <w:r>
        <w:rPr>
          <w:rFonts w:hint="eastAsia" w:ascii="黑体" w:hAnsi="黑体" w:eastAsia="黑体" w:cs="黑体"/>
        </w:rPr>
        <w:t>声明：本文件的知识产权归属于中国物流与采购联合会，未经中国物流与采购联合会同意，不得印刷、销售。任何组织、个人使用本文件开展认证、检测等活动应经中国物流与采购联合会批准授权。</w:t>
      </w:r>
    </w:p>
    <w:p>
      <w:pPr>
        <w:pStyle w:val="57"/>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p>
    <w:bookmarkEnd w:id="18"/>
    <w:p>
      <w:pPr>
        <w:spacing w:line="20" w:lineRule="exact"/>
        <w:jc w:val="center"/>
        <w:rPr>
          <w:rFonts w:ascii="黑体" w:hAnsi="黑体" w:eastAsia="黑体"/>
          <w:sz w:val="32"/>
          <w:szCs w:val="32"/>
        </w:rPr>
      </w:pPr>
      <w:bookmarkStart w:id="19" w:name="BookMark4"/>
    </w:p>
    <w:p>
      <w:pPr>
        <w:spacing w:line="20" w:lineRule="exact"/>
        <w:jc w:val="center"/>
        <w:rPr>
          <w:rFonts w:ascii="黑体" w:hAnsi="黑体" w:eastAsia="黑体"/>
          <w:sz w:val="32"/>
          <w:szCs w:val="32"/>
        </w:rPr>
      </w:pPr>
    </w:p>
    <w:sdt>
      <w:sdtPr>
        <w:tag w:val="NEW_STAND_NAME"/>
        <w:id w:val="595910757"/>
        <w:lock w:val="sdtLocked"/>
        <w:placeholder>
          <w:docPart w:val="B83A764835D145B29993AEA3C90195AC"/>
        </w:placeholder>
      </w:sdtPr>
      <w:sdtContent>
        <w:p>
          <w:pPr>
            <w:pStyle w:val="178"/>
            <w:spacing w:before="240" w:beforeLines="100" w:after="528" w:afterLines="220"/>
          </w:pPr>
          <w:bookmarkStart w:id="20" w:name="NEW_STAND_NAME"/>
          <w:r>
            <w:rPr>
              <w:rFonts w:hint="eastAsia"/>
            </w:rPr>
            <w:t>医疗器械医院院内物流服务质量评价</w:t>
          </w:r>
        </w:p>
      </w:sdtContent>
    </w:sdt>
    <w:bookmarkEnd w:id="20"/>
    <w:p>
      <w:pPr>
        <w:pStyle w:val="105"/>
        <w:spacing w:before="240" w:after="240"/>
      </w:pPr>
      <w:bookmarkStart w:id="21" w:name="_Toc26986771"/>
      <w:bookmarkStart w:id="22" w:name="_Toc26986530"/>
      <w:bookmarkStart w:id="23" w:name="_Toc26718930"/>
      <w:bookmarkStart w:id="24" w:name="_Toc24884218"/>
      <w:bookmarkStart w:id="25" w:name="_Toc17233333"/>
      <w:bookmarkStart w:id="26" w:name="_Toc97192964"/>
      <w:bookmarkStart w:id="27" w:name="_Toc24884211"/>
      <w:bookmarkStart w:id="28" w:name="_Toc17233325"/>
      <w:bookmarkStart w:id="29" w:name="_Toc26648465"/>
      <w:r>
        <w:rPr>
          <w:rFonts w:hint="eastAsia"/>
        </w:rPr>
        <w:t>范围</w:t>
      </w:r>
      <w:bookmarkEnd w:id="21"/>
      <w:bookmarkEnd w:id="22"/>
      <w:bookmarkEnd w:id="23"/>
      <w:bookmarkEnd w:id="24"/>
      <w:bookmarkEnd w:id="25"/>
      <w:bookmarkEnd w:id="26"/>
      <w:bookmarkEnd w:id="27"/>
      <w:bookmarkEnd w:id="28"/>
      <w:bookmarkEnd w:id="29"/>
    </w:p>
    <w:p>
      <w:pPr>
        <w:pStyle w:val="57"/>
        <w:ind w:firstLine="420"/>
      </w:pPr>
      <w:bookmarkStart w:id="30" w:name="_Toc17233326"/>
      <w:bookmarkStart w:id="31" w:name="_Toc24884212"/>
      <w:bookmarkStart w:id="32" w:name="_Toc24884219"/>
      <w:bookmarkStart w:id="33" w:name="_Toc26648466"/>
      <w:bookmarkStart w:id="34" w:name="_Toc17233334"/>
      <w:r>
        <w:rPr>
          <w:rFonts w:hint="eastAsia"/>
        </w:rPr>
        <w:t>本文件规定了医疗器械医院院内物流服务质量评价流程、评价指标及检查内容。</w:t>
      </w:r>
    </w:p>
    <w:p>
      <w:pPr>
        <w:pStyle w:val="57"/>
        <w:ind w:firstLine="420"/>
      </w:pPr>
      <w:r>
        <w:rPr>
          <w:rFonts w:hint="eastAsia"/>
        </w:rPr>
        <w:t>本文件适用于医疗器械医院院内物流服务质量的评价。</w:t>
      </w:r>
    </w:p>
    <w:p>
      <w:pPr>
        <w:pStyle w:val="57"/>
        <w:ind w:firstLine="420"/>
      </w:pPr>
      <w:r>
        <w:rPr>
          <w:rFonts w:hint="eastAsia"/>
        </w:rPr>
        <w:t>本文件不适用于大中型医疗设备的医院院内物流服务质量的评价。</w:t>
      </w:r>
    </w:p>
    <w:p>
      <w:pPr>
        <w:pStyle w:val="105"/>
        <w:spacing w:before="240" w:after="240"/>
      </w:pPr>
      <w:bookmarkStart w:id="35" w:name="_Toc26986772"/>
      <w:bookmarkStart w:id="36" w:name="_Toc26986531"/>
      <w:bookmarkStart w:id="37" w:name="_Toc26718931"/>
      <w:bookmarkStart w:id="38" w:name="_Toc97192965"/>
      <w:r>
        <w:rPr>
          <w:rFonts w:hint="eastAsia"/>
        </w:rPr>
        <w:t>规范性引用文件</w:t>
      </w:r>
      <w:bookmarkEnd w:id="30"/>
      <w:bookmarkEnd w:id="31"/>
      <w:bookmarkEnd w:id="32"/>
      <w:bookmarkEnd w:id="33"/>
      <w:bookmarkEnd w:id="34"/>
      <w:bookmarkEnd w:id="35"/>
      <w:bookmarkEnd w:id="36"/>
      <w:bookmarkEnd w:id="37"/>
      <w:bookmarkEnd w:id="38"/>
    </w:p>
    <w:sdt>
      <w:sdtPr>
        <w:rPr>
          <w:rFonts w:hint="eastAsia"/>
        </w:rPr>
        <w:id w:val="715848253"/>
        <w:placeholder>
          <w:docPart w:val="C3C7DA1163944F8092B4822B854B600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GB/T 37973-2019 信息安全技术 大数据安全管理指南</w:t>
      </w:r>
    </w:p>
    <w:p>
      <w:pPr>
        <w:pStyle w:val="105"/>
        <w:spacing w:before="240" w:after="240"/>
      </w:pPr>
      <w:bookmarkStart w:id="39" w:name="_Toc97192966"/>
      <w:r>
        <w:rPr>
          <w:rFonts w:hint="eastAsia"/>
          <w:szCs w:val="21"/>
        </w:rPr>
        <w:t>术语和定义</w:t>
      </w:r>
      <w:bookmarkEnd w:id="39"/>
    </w:p>
    <w:sdt>
      <w:sdtPr>
        <w:id w:val="-1909835108"/>
        <w:placeholder>
          <w:docPart w:val="04FA610D0AED4600BE4A3CD19655FBF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0" w:name="_Toc26986532"/>
          <w:bookmarkEnd w:id="40"/>
          <w:r>
            <w:t>下列术语和定义适用于本文件。</w:t>
          </w:r>
        </w:p>
      </w:sdtContent>
    </w:sdt>
    <w:p>
      <w:pPr>
        <w:pStyle w:val="224"/>
        <w:ind w:left="420" w:hanging="420" w:hangingChars="200"/>
        <w:rPr>
          <w:rFonts w:ascii="黑体" w:hAnsi="黑体" w:eastAsia="黑体"/>
        </w:rPr>
      </w:pPr>
    </w:p>
    <w:p>
      <w:pPr>
        <w:pStyle w:val="224"/>
        <w:numPr>
          <w:ilvl w:val="0"/>
          <w:numId w:val="0"/>
        </w:numPr>
        <w:ind w:firstLine="420" w:firstLineChars="200"/>
        <w:rPr>
          <w:rFonts w:ascii="黑体" w:hAnsi="黑体" w:eastAsia="黑体"/>
        </w:rPr>
      </w:pPr>
      <w:r>
        <w:rPr>
          <w:rFonts w:hint="eastAsia" w:ascii="黑体" w:hAnsi="黑体" w:eastAsia="黑体"/>
        </w:rPr>
        <w:t>医疗器械　medical devices</w:t>
      </w:r>
    </w:p>
    <w:p>
      <w:pPr>
        <w:pStyle w:val="106"/>
        <w:numPr>
          <w:ilvl w:val="0"/>
          <w:numId w:val="0"/>
        </w:numPr>
        <w:spacing w:before="120" w:after="120"/>
        <w:ind w:firstLine="420" w:firstLineChars="200"/>
        <w:rPr>
          <w:rFonts w:ascii="宋体" w:eastAsia="宋体"/>
        </w:rPr>
      </w:pPr>
      <w:r>
        <w:rPr>
          <w:rFonts w:hint="eastAsia" w:ascii="宋体" w:eastAsia="宋体"/>
        </w:rPr>
        <w:t>用于预防、治疗和诊断疾病，有目的调节和修复人体机能的产品，包括医用耗材、体外诊断试剂及校准物、以及其他类似或相关医疗产品。</w:t>
      </w:r>
    </w:p>
    <w:p>
      <w:pPr>
        <w:pStyle w:val="224"/>
        <w:ind w:left="420" w:hanging="420" w:hangingChars="200"/>
        <w:rPr>
          <w:rFonts w:ascii="黑体" w:hAnsi="黑体" w:eastAsia="黑体"/>
        </w:rPr>
      </w:pPr>
    </w:p>
    <w:p>
      <w:pPr>
        <w:pStyle w:val="224"/>
        <w:numPr>
          <w:ilvl w:val="0"/>
          <w:numId w:val="0"/>
        </w:numPr>
        <w:ind w:firstLine="420" w:firstLineChars="200"/>
        <w:rPr>
          <w:rFonts w:ascii="黑体" w:hAnsi="黑体" w:eastAsia="黑体"/>
        </w:rPr>
      </w:pPr>
      <w:r>
        <w:rPr>
          <w:rFonts w:hint="eastAsia" w:ascii="黑体" w:hAnsi="黑体" w:eastAsia="黑体"/>
        </w:rPr>
        <w:t>医院院内物流信息系统  supply processing distribution system</w:t>
      </w:r>
    </w:p>
    <w:p>
      <w:pPr>
        <w:pStyle w:val="57"/>
        <w:spacing w:before="120" w:beforeLines="50" w:after="120" w:afterLines="50"/>
        <w:ind w:firstLine="420"/>
      </w:pPr>
      <w:r>
        <w:rPr>
          <w:rFonts w:hint="eastAsia"/>
        </w:rPr>
        <w:t>物流服务商使用的与医院信息管理系统和医疗器械供应商管理系统数据交互，且与院内各类智能化设备互联的医疗器械运营管理信息平台，简称SPD系统。</w:t>
      </w:r>
    </w:p>
    <w:p>
      <w:pPr>
        <w:pStyle w:val="224"/>
        <w:ind w:left="420" w:hanging="420" w:hangingChars="200"/>
        <w:rPr>
          <w:rFonts w:ascii="黑体" w:hAnsi="黑体" w:eastAsia="黑体"/>
        </w:rPr>
      </w:pPr>
    </w:p>
    <w:p>
      <w:pPr>
        <w:pStyle w:val="224"/>
        <w:numPr>
          <w:ilvl w:val="0"/>
          <w:numId w:val="0"/>
        </w:numPr>
        <w:ind w:firstLine="420" w:firstLineChars="200"/>
        <w:rPr>
          <w:rFonts w:ascii="黑体" w:hAnsi="黑体" w:eastAsia="黑体"/>
        </w:rPr>
      </w:pPr>
      <w:r>
        <w:rPr>
          <w:rFonts w:hint="eastAsia" w:ascii="黑体" w:hAnsi="黑体" w:eastAsia="黑体"/>
        </w:rPr>
        <w:t>医院院内物流服务  hospital integrated logistics service</w:t>
      </w:r>
    </w:p>
    <w:p>
      <w:pPr>
        <w:pStyle w:val="106"/>
        <w:numPr>
          <w:ilvl w:val="0"/>
          <w:numId w:val="0"/>
        </w:numPr>
        <w:spacing w:before="120" w:after="120"/>
        <w:ind w:firstLine="420" w:firstLineChars="200"/>
        <w:rPr>
          <w:rFonts w:ascii="宋体" w:eastAsia="宋体"/>
        </w:rPr>
      </w:pPr>
      <w:r>
        <w:rPr>
          <w:rFonts w:hint="eastAsia" w:ascii="宋体" w:eastAsia="宋体"/>
        </w:rPr>
        <w:t>物流服务商通过SPD系统对医疗器械在医院院内的供应保障、收货验收、储存养护、调配调剂、定点配送、对账服务、设施设备管理、数据管理等方面提供的服务。</w:t>
      </w:r>
    </w:p>
    <w:p>
      <w:pPr>
        <w:pStyle w:val="224"/>
        <w:ind w:left="420" w:hanging="420" w:hangingChars="200"/>
        <w:rPr>
          <w:rFonts w:ascii="黑体" w:hAnsi="黑体" w:eastAsia="黑体"/>
        </w:rPr>
      </w:pPr>
    </w:p>
    <w:p>
      <w:pPr>
        <w:pStyle w:val="224"/>
        <w:numPr>
          <w:ilvl w:val="0"/>
          <w:numId w:val="0"/>
        </w:numPr>
        <w:ind w:firstLine="420" w:firstLineChars="200"/>
        <w:rPr>
          <w:rFonts w:ascii="黑体" w:hAnsi="黑体" w:eastAsia="黑体"/>
        </w:rPr>
      </w:pPr>
      <w:r>
        <w:rPr>
          <w:rFonts w:hint="eastAsia" w:ascii="黑体" w:hAnsi="黑体" w:eastAsia="黑体"/>
        </w:rPr>
        <w:t>消耗点  consuming department</w:t>
      </w:r>
    </w:p>
    <w:p>
      <w:pPr>
        <w:pStyle w:val="106"/>
        <w:numPr>
          <w:ilvl w:val="0"/>
          <w:numId w:val="0"/>
        </w:numPr>
        <w:spacing w:before="120" w:after="0" w:afterLines="0"/>
        <w:ind w:firstLine="420" w:firstLineChars="200"/>
        <w:rPr>
          <w:rFonts w:ascii="宋体" w:eastAsia="宋体"/>
        </w:rPr>
      </w:pPr>
      <w:r>
        <w:rPr>
          <w:rFonts w:hint="eastAsia" w:ascii="宋体" w:eastAsia="宋体"/>
        </w:rPr>
        <w:t>使用医药产品的部门或科室。</w:t>
      </w:r>
    </w:p>
    <w:p>
      <w:pPr>
        <w:pStyle w:val="106"/>
        <w:numPr>
          <w:ilvl w:val="0"/>
          <w:numId w:val="0"/>
        </w:numPr>
        <w:spacing w:before="0" w:beforeLines="0" w:after="120"/>
        <w:ind w:firstLine="360" w:firstLineChars="200"/>
        <w:rPr>
          <w:rFonts w:ascii="宋体" w:eastAsia="宋体"/>
          <w:sz w:val="18"/>
          <w:szCs w:val="16"/>
        </w:rPr>
      </w:pPr>
      <w:r>
        <w:rPr>
          <w:rFonts w:hint="eastAsia" w:hAnsi="黑体"/>
          <w:sz w:val="18"/>
          <w:szCs w:val="16"/>
        </w:rPr>
        <w:t>示例</w:t>
      </w:r>
      <w:r>
        <w:rPr>
          <w:rFonts w:hint="eastAsia" w:ascii="宋体" w:eastAsia="宋体"/>
          <w:sz w:val="18"/>
          <w:szCs w:val="16"/>
        </w:rPr>
        <w:t>：门诊药房、急诊药房、住院药房、静配中心、手术室、临床科室等。</w:t>
      </w:r>
    </w:p>
    <w:p>
      <w:pPr>
        <w:pStyle w:val="105"/>
        <w:spacing w:before="240" w:after="240"/>
      </w:pPr>
      <w:r>
        <w:rPr>
          <w:rFonts w:hint="eastAsia"/>
        </w:rPr>
        <w:t>符号</w:t>
      </w:r>
    </w:p>
    <w:p>
      <w:pPr>
        <w:pStyle w:val="57"/>
        <w:ind w:firstLine="420"/>
      </w:pPr>
      <w:r>
        <w:rPr>
          <w:rFonts w:hint="eastAsia"/>
        </w:rPr>
        <w:t>下列符号适用于本文件。</w:t>
      </w:r>
    </w:p>
    <w:p>
      <w:pPr>
        <w:pStyle w:val="57"/>
        <w:ind w:firstLine="420"/>
      </w:pPr>
      <w:r>
        <w:rPr>
          <w:rFonts w:hint="eastAsia"/>
        </w:rPr>
        <w:t>S：医院院内物流服务质量得分。</w:t>
      </w:r>
    </w:p>
    <w:p>
      <w:pPr>
        <w:pStyle w:val="57"/>
        <w:ind w:firstLine="420"/>
      </w:pPr>
      <w:r>
        <w:rPr>
          <w:rFonts w:hint="eastAsia"/>
        </w:rPr>
        <w:t>S</w:t>
      </w:r>
      <w:r>
        <w:rPr>
          <w:rFonts w:hint="eastAsia"/>
          <w:vertAlign w:val="subscript"/>
        </w:rPr>
        <w:t>1</w:t>
      </w:r>
      <w:r>
        <w:rPr>
          <w:rFonts w:hint="eastAsia"/>
        </w:rPr>
        <w:t>：各类一级指标的质量得分。</w:t>
      </w:r>
    </w:p>
    <w:p>
      <w:pPr>
        <w:pStyle w:val="57"/>
        <w:ind w:firstLine="420"/>
      </w:pPr>
      <w:r>
        <w:rPr>
          <w:rFonts w:hint="eastAsia"/>
        </w:rPr>
        <w:t>S</w:t>
      </w:r>
      <w:r>
        <w:rPr>
          <w:rFonts w:hint="eastAsia"/>
          <w:vertAlign w:val="subscript"/>
        </w:rPr>
        <w:t>2</w:t>
      </w:r>
      <w:r>
        <w:rPr>
          <w:rFonts w:hint="eastAsia"/>
        </w:rPr>
        <w:t>：各类二级指标的质量得分。</w:t>
      </w:r>
    </w:p>
    <w:p>
      <w:pPr>
        <w:pStyle w:val="57"/>
        <w:ind w:firstLine="420"/>
      </w:pPr>
      <w:r>
        <w:rPr>
          <w:rFonts w:hint="eastAsia"/>
        </w:rPr>
        <w:t>S</w:t>
      </w:r>
      <w:r>
        <w:rPr>
          <w:rFonts w:hint="eastAsia"/>
          <w:vertAlign w:val="subscript"/>
        </w:rPr>
        <w:t>3</w:t>
      </w:r>
      <w:r>
        <w:rPr>
          <w:rFonts w:hint="eastAsia"/>
        </w:rPr>
        <w:t>：各类三级指标的质量得分。</w:t>
      </w:r>
    </w:p>
    <w:p>
      <w:pPr>
        <w:pStyle w:val="105"/>
        <w:spacing w:before="240" w:after="240"/>
      </w:pPr>
      <w:r>
        <w:rPr>
          <w:rFonts w:hint="eastAsia"/>
        </w:rPr>
        <w:t>评价流程</w:t>
      </w:r>
    </w:p>
    <w:p>
      <w:pPr>
        <w:pStyle w:val="57"/>
        <w:ind w:firstLine="420"/>
        <w:rPr>
          <w:rFonts w:hAnsi="宋体" w:cs="宋体"/>
        </w:rPr>
      </w:pPr>
      <w:r>
        <w:rPr>
          <w:rFonts w:hint="eastAsia" w:hAnsi="宋体" w:cs="宋体"/>
        </w:rPr>
        <w:t>应建立相应的医院院内物流服务质量评价流程，相关内容应符合以下要求：</w:t>
      </w:r>
    </w:p>
    <w:p>
      <w:pPr>
        <w:pStyle w:val="175"/>
      </w:pPr>
      <w:r>
        <w:rPr>
          <w:rFonts w:hint="eastAsia"/>
        </w:rPr>
        <w:t>提交材料。</w:t>
      </w:r>
      <w:r>
        <w:rPr>
          <w:rFonts w:hint="eastAsia" w:hAnsi="宋体" w:cs="宋体"/>
        </w:rPr>
        <w:t>医院</w:t>
      </w:r>
      <w:r>
        <w:rPr>
          <w:rFonts w:hint="eastAsia"/>
        </w:rPr>
        <w:t>院内物流服务相关材料包括但不限于</w:t>
      </w:r>
      <w:r>
        <w:rPr>
          <w:rFonts w:hint="eastAsia" w:hAnsi="宋体" w:cs="宋体"/>
        </w:rPr>
        <w:t>医院</w:t>
      </w:r>
      <w:r>
        <w:rPr>
          <w:rFonts w:hint="eastAsia"/>
        </w:rPr>
        <w:t>院内物流管理制度、作业流程、运营团队花名册等；</w:t>
      </w:r>
    </w:p>
    <w:p>
      <w:pPr>
        <w:pStyle w:val="175"/>
      </w:pPr>
      <w:r>
        <w:rPr>
          <w:rFonts w:hint="eastAsia"/>
        </w:rPr>
        <w:t>医院院内物流服务质量评价。服务质量评价指标体系由一级至三级指标构成，服务类型为一级指标、服务内容为二级指标、检查内容为三级指标，最终根据一级至三级指标综合计算整体的院内物流服务质量得分，具体计算方式参见附录A；</w:t>
      </w:r>
    </w:p>
    <w:p>
      <w:pPr>
        <w:pStyle w:val="175"/>
      </w:pPr>
      <w:r>
        <w:rPr>
          <w:rFonts w:hint="eastAsia"/>
        </w:rPr>
        <w:t>服务质量等级评定。院内物流服务质量综合评价等级确定为：80≤医院院内物流服务质量(S)≤100，等级为五星；70≤医院院内物流服务质量(S)＜80，等级为四星；60≤医院院内物流服务质量(S)等级为三星。</w:t>
      </w:r>
    </w:p>
    <w:p>
      <w:pPr>
        <w:pStyle w:val="105"/>
        <w:spacing w:before="240" w:after="240"/>
      </w:pPr>
      <w:r>
        <w:rPr>
          <w:rFonts w:hint="eastAsia"/>
        </w:rPr>
        <w:t>评价指标</w:t>
      </w:r>
    </w:p>
    <w:p>
      <w:pPr>
        <w:pStyle w:val="57"/>
        <w:ind w:firstLine="420"/>
      </w:pPr>
      <w:r>
        <w:rPr>
          <w:rFonts w:hint="eastAsia"/>
        </w:rPr>
        <w:t>医院院内物流服务质量评价指标见表1：</w:t>
      </w:r>
    </w:p>
    <w:p>
      <w:pPr>
        <w:pStyle w:val="113"/>
        <w:spacing w:before="120" w:after="120"/>
      </w:pPr>
      <w:r>
        <w:rPr>
          <w:rFonts w:hint="eastAsia"/>
        </w:rPr>
        <w:t>医院院内物流服务质量评价指标</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83"/>
        <w:gridCol w:w="567"/>
        <w:gridCol w:w="850"/>
        <w:gridCol w:w="567"/>
        <w:gridCol w:w="1134"/>
        <w:gridCol w:w="4678"/>
        <w:gridCol w:w="5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550" w:type="dxa"/>
            <w:gridSpan w:val="2"/>
            <w:tcBorders>
              <w:top w:val="single" w:color="auto" w:sz="8" w:space="0"/>
              <w:bottom w:val="single" w:color="auto" w:sz="8" w:space="0"/>
            </w:tcBorders>
            <w:shd w:val="clear" w:color="auto" w:fill="auto"/>
            <w:vAlign w:val="center"/>
          </w:tcPr>
          <w:p>
            <w:pPr>
              <w:pStyle w:val="179"/>
            </w:pPr>
            <w:r>
              <w:rPr>
                <w:rFonts w:hint="eastAsia"/>
              </w:rPr>
              <w:t>一级指标</w:t>
            </w:r>
          </w:p>
        </w:tc>
        <w:tc>
          <w:tcPr>
            <w:tcW w:w="1417" w:type="dxa"/>
            <w:gridSpan w:val="2"/>
            <w:tcBorders>
              <w:top w:val="single" w:color="auto" w:sz="8" w:space="0"/>
              <w:bottom w:val="single" w:color="auto" w:sz="8" w:space="0"/>
            </w:tcBorders>
            <w:shd w:val="clear" w:color="auto" w:fill="auto"/>
            <w:vAlign w:val="center"/>
          </w:tcPr>
          <w:p>
            <w:pPr>
              <w:pStyle w:val="179"/>
            </w:pPr>
            <w:r>
              <w:rPr>
                <w:rFonts w:hint="eastAsia"/>
              </w:rPr>
              <w:t>二级指标</w:t>
            </w:r>
          </w:p>
        </w:tc>
        <w:tc>
          <w:tcPr>
            <w:tcW w:w="6367" w:type="dxa"/>
            <w:gridSpan w:val="3"/>
            <w:tcBorders>
              <w:top w:val="single" w:color="auto" w:sz="8" w:space="0"/>
              <w:bottom w:val="single" w:color="auto" w:sz="8" w:space="0"/>
            </w:tcBorders>
            <w:shd w:val="clear" w:color="auto" w:fill="auto"/>
            <w:vAlign w:val="center"/>
          </w:tcPr>
          <w:p>
            <w:pPr>
              <w:pStyle w:val="179"/>
            </w:pPr>
            <w:r>
              <w:rPr>
                <w:rFonts w:hint="eastAsia"/>
              </w:rPr>
              <w:t>三级指标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tcBorders>
              <w:top w:val="single" w:color="auto" w:sz="8" w:space="0"/>
            </w:tcBorders>
            <w:shd w:val="clear" w:color="auto" w:fill="auto"/>
            <w:vAlign w:val="center"/>
          </w:tcPr>
          <w:p>
            <w:pPr>
              <w:pStyle w:val="179"/>
            </w:pPr>
            <w:r>
              <w:rPr>
                <w:rFonts w:hint="eastAsia"/>
              </w:rPr>
              <w:t>服务类型(S1)</w:t>
            </w:r>
          </w:p>
        </w:tc>
        <w:tc>
          <w:tcPr>
            <w:tcW w:w="567" w:type="dxa"/>
            <w:tcBorders>
              <w:top w:val="single" w:color="auto" w:sz="8" w:space="0"/>
            </w:tcBorders>
            <w:shd w:val="clear" w:color="auto" w:fill="auto"/>
            <w:vAlign w:val="center"/>
          </w:tcPr>
          <w:p>
            <w:pPr>
              <w:pStyle w:val="179"/>
            </w:pPr>
            <w:r>
              <w:rPr>
                <w:rFonts w:hint="eastAsia"/>
              </w:rPr>
              <w:t>权值</w:t>
            </w:r>
          </w:p>
        </w:tc>
        <w:tc>
          <w:tcPr>
            <w:tcW w:w="850" w:type="dxa"/>
            <w:tcBorders>
              <w:top w:val="single" w:color="auto" w:sz="8" w:space="0"/>
            </w:tcBorders>
            <w:shd w:val="clear" w:color="auto" w:fill="auto"/>
            <w:vAlign w:val="center"/>
          </w:tcPr>
          <w:p>
            <w:pPr>
              <w:pStyle w:val="179"/>
            </w:pPr>
            <w:r>
              <w:rPr>
                <w:rFonts w:hint="eastAsia"/>
              </w:rPr>
              <w:t>服务内容(S2)</w:t>
            </w:r>
          </w:p>
        </w:tc>
        <w:tc>
          <w:tcPr>
            <w:tcW w:w="567" w:type="dxa"/>
            <w:tcBorders>
              <w:top w:val="single" w:color="auto" w:sz="8" w:space="0"/>
            </w:tcBorders>
            <w:shd w:val="clear" w:color="auto" w:fill="auto"/>
            <w:vAlign w:val="center"/>
          </w:tcPr>
          <w:p>
            <w:pPr>
              <w:pStyle w:val="179"/>
            </w:pPr>
            <w:r>
              <w:rPr>
                <w:rFonts w:hint="eastAsia"/>
              </w:rPr>
              <w:t>权值</w:t>
            </w:r>
          </w:p>
        </w:tc>
        <w:tc>
          <w:tcPr>
            <w:tcW w:w="1134" w:type="dxa"/>
            <w:tcBorders>
              <w:top w:val="single" w:color="auto" w:sz="8" w:space="0"/>
            </w:tcBorders>
            <w:shd w:val="clear" w:color="auto" w:fill="auto"/>
            <w:vAlign w:val="center"/>
          </w:tcPr>
          <w:p>
            <w:pPr>
              <w:pStyle w:val="179"/>
            </w:pPr>
            <w:r>
              <w:rPr>
                <w:rFonts w:hint="eastAsia"/>
              </w:rPr>
              <w:t>检查</w:t>
            </w:r>
          </w:p>
          <w:p>
            <w:pPr>
              <w:pStyle w:val="179"/>
            </w:pPr>
            <w:r>
              <w:rPr>
                <w:rFonts w:hint="eastAsia"/>
              </w:rPr>
              <w:t>内容(S3)</w:t>
            </w:r>
          </w:p>
        </w:tc>
        <w:tc>
          <w:tcPr>
            <w:tcW w:w="4678" w:type="dxa"/>
            <w:tcBorders>
              <w:top w:val="single" w:color="auto" w:sz="8" w:space="0"/>
            </w:tcBorders>
            <w:shd w:val="clear" w:color="auto" w:fill="auto"/>
            <w:vAlign w:val="center"/>
          </w:tcPr>
          <w:p>
            <w:pPr>
              <w:pStyle w:val="179"/>
            </w:pPr>
            <w:r>
              <w:rPr>
                <w:rFonts w:hint="eastAsia"/>
              </w:rPr>
              <w:t>具体检查方式</w:t>
            </w:r>
          </w:p>
        </w:tc>
        <w:tc>
          <w:tcPr>
            <w:tcW w:w="555" w:type="dxa"/>
            <w:tcBorders>
              <w:top w:val="single" w:color="auto" w:sz="8" w:space="0"/>
            </w:tcBorders>
            <w:shd w:val="clear" w:color="auto" w:fill="auto"/>
            <w:vAlign w:val="center"/>
          </w:tcPr>
          <w:p>
            <w:pPr>
              <w:pStyle w:val="179"/>
            </w:pPr>
            <w:r>
              <w:rPr>
                <w:rFonts w:hint="eastAsia"/>
              </w:rPr>
              <w:t>权值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restart"/>
            <w:shd w:val="clear" w:color="auto" w:fill="auto"/>
            <w:vAlign w:val="center"/>
          </w:tcPr>
          <w:p>
            <w:pPr>
              <w:pStyle w:val="179"/>
            </w:pPr>
            <w:r>
              <w:rPr>
                <w:rFonts w:hint="eastAsia"/>
              </w:rPr>
              <w:t>供应保障</w:t>
            </w:r>
          </w:p>
        </w:tc>
        <w:tc>
          <w:tcPr>
            <w:tcW w:w="567" w:type="dxa"/>
            <w:vMerge w:val="restart"/>
            <w:shd w:val="clear" w:color="auto" w:fill="auto"/>
            <w:vAlign w:val="center"/>
          </w:tcPr>
          <w:p>
            <w:pPr>
              <w:pStyle w:val="179"/>
            </w:pPr>
            <w:r>
              <w:rPr>
                <w:rFonts w:hint="eastAsia"/>
              </w:rPr>
              <w:t>0</w:t>
            </w:r>
            <w:r>
              <w:t>.15</w:t>
            </w:r>
          </w:p>
        </w:tc>
        <w:tc>
          <w:tcPr>
            <w:tcW w:w="850" w:type="dxa"/>
            <w:shd w:val="clear" w:color="auto" w:fill="auto"/>
            <w:vAlign w:val="center"/>
          </w:tcPr>
          <w:p>
            <w:pPr>
              <w:pStyle w:val="179"/>
            </w:pPr>
            <w:r>
              <w:rPr>
                <w:rFonts w:hint="eastAsia"/>
              </w:rPr>
              <w:t>备货</w:t>
            </w:r>
          </w:p>
        </w:tc>
        <w:tc>
          <w:tcPr>
            <w:tcW w:w="567" w:type="dxa"/>
            <w:shd w:val="clear" w:color="auto" w:fill="auto"/>
            <w:vAlign w:val="center"/>
          </w:tcPr>
          <w:p>
            <w:pPr>
              <w:pStyle w:val="179"/>
            </w:pPr>
            <w:r>
              <w:rPr>
                <w:rFonts w:hint="eastAsia"/>
              </w:rPr>
              <w:t>0</w:t>
            </w:r>
            <w:r>
              <w:t>.3</w:t>
            </w:r>
          </w:p>
        </w:tc>
        <w:tc>
          <w:tcPr>
            <w:tcW w:w="1134" w:type="dxa"/>
            <w:shd w:val="clear" w:color="auto" w:fill="auto"/>
            <w:vAlign w:val="center"/>
          </w:tcPr>
          <w:p>
            <w:pPr>
              <w:pStyle w:val="179"/>
            </w:pPr>
            <w:r>
              <w:rPr>
                <w:rFonts w:hint="eastAsia"/>
              </w:rPr>
              <w:t>备货品种</w:t>
            </w:r>
          </w:p>
        </w:tc>
        <w:tc>
          <w:tcPr>
            <w:tcW w:w="4678" w:type="dxa"/>
            <w:shd w:val="clear" w:color="auto" w:fill="auto"/>
          </w:tcPr>
          <w:p>
            <w:pPr>
              <w:pStyle w:val="179"/>
              <w:ind w:left="63" w:leftChars="30"/>
              <w:jc w:val="left"/>
            </w:pPr>
            <w:r>
              <w:rPr>
                <w:rFonts w:hint="eastAsia"/>
              </w:rPr>
              <w:t>随意抽取医院产品采购目录内与医院确定的10个备货产品，检查是否在中心库备货，缺1个扣20分，直至本项目分数扣完</w:t>
            </w:r>
          </w:p>
        </w:tc>
        <w:tc>
          <w:tcPr>
            <w:tcW w:w="555" w:type="dxa"/>
            <w:shd w:val="clear" w:color="auto" w:fill="auto"/>
            <w:vAlign w:val="center"/>
          </w:tcPr>
          <w:p>
            <w:pPr>
              <w:pStyle w:val="179"/>
            </w:pPr>
            <w: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restart"/>
            <w:shd w:val="clear" w:color="auto" w:fill="auto"/>
            <w:vAlign w:val="center"/>
          </w:tcPr>
          <w:p>
            <w:pPr>
              <w:pStyle w:val="179"/>
            </w:pPr>
            <w:r>
              <w:rPr>
                <w:rFonts w:hint="eastAsia"/>
              </w:rPr>
              <w:t>补货</w:t>
            </w:r>
          </w:p>
        </w:tc>
        <w:tc>
          <w:tcPr>
            <w:tcW w:w="567" w:type="dxa"/>
            <w:vMerge w:val="restart"/>
            <w:shd w:val="clear" w:color="auto" w:fill="auto"/>
            <w:vAlign w:val="center"/>
          </w:tcPr>
          <w:p>
            <w:pPr>
              <w:pStyle w:val="179"/>
            </w:pPr>
            <w:r>
              <w:rPr>
                <w:rFonts w:hint="eastAsia"/>
              </w:rPr>
              <w:t>0</w:t>
            </w:r>
            <w:r>
              <w:t>.7</w:t>
            </w:r>
          </w:p>
        </w:tc>
        <w:tc>
          <w:tcPr>
            <w:tcW w:w="1134" w:type="dxa"/>
            <w:shd w:val="clear" w:color="auto" w:fill="auto"/>
            <w:vAlign w:val="center"/>
          </w:tcPr>
          <w:p>
            <w:pPr>
              <w:pStyle w:val="179"/>
            </w:pPr>
            <w:r>
              <w:rPr>
                <w:rFonts w:hint="eastAsia"/>
              </w:rPr>
              <w:t>产品信息维护</w:t>
            </w:r>
          </w:p>
        </w:tc>
        <w:tc>
          <w:tcPr>
            <w:tcW w:w="4678" w:type="dxa"/>
            <w:shd w:val="clear" w:color="auto" w:fill="auto"/>
          </w:tcPr>
          <w:p>
            <w:pPr>
              <w:pStyle w:val="179"/>
              <w:ind w:left="63" w:leftChars="30"/>
              <w:jc w:val="left"/>
            </w:pPr>
            <w:r>
              <w:rPr>
                <w:rFonts w:hint="eastAsia"/>
              </w:rPr>
              <w:t>随意抽取5个医院信息管理系统中2天前新增/修改/停用的产品，检查服务商SPD系统中是否已完成医药产品基础信息维护，未完成1个扣20分</w:t>
            </w:r>
          </w:p>
        </w:tc>
        <w:tc>
          <w:tcPr>
            <w:tcW w:w="555" w:type="dxa"/>
            <w:shd w:val="clear" w:color="auto" w:fill="auto"/>
            <w:vAlign w:val="center"/>
          </w:tcPr>
          <w:p>
            <w:pPr>
              <w:pStyle w:val="179"/>
            </w:pPr>
            <w: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pStyle w:val="179"/>
            </w:pPr>
            <w:r>
              <w:rPr>
                <w:rFonts w:hint="eastAsia"/>
              </w:rPr>
              <w:t>补货情况</w:t>
            </w:r>
          </w:p>
        </w:tc>
        <w:tc>
          <w:tcPr>
            <w:tcW w:w="4678" w:type="dxa"/>
            <w:shd w:val="clear" w:color="auto" w:fill="auto"/>
            <w:vAlign w:val="center"/>
          </w:tcPr>
          <w:p>
            <w:pPr>
              <w:pStyle w:val="179"/>
              <w:ind w:left="63" w:leftChars="30"/>
              <w:jc w:val="left"/>
            </w:pPr>
            <w:r>
              <w:rPr>
                <w:rFonts w:hint="eastAsia"/>
              </w:rPr>
              <w:t>随意抽取10个医院各消耗点的订单及对应的送货单，检查是否存在服务商断货导致未完成所有产品配送的订单，有1个未完成订单扣20分，直至本项目分数扣完</w:t>
            </w:r>
          </w:p>
        </w:tc>
        <w:tc>
          <w:tcPr>
            <w:tcW w:w="555" w:type="dxa"/>
            <w:shd w:val="clear" w:color="auto" w:fill="auto"/>
            <w:vAlign w:val="center"/>
          </w:tcPr>
          <w:p>
            <w:pPr>
              <w:pStyle w:val="179"/>
            </w:pPr>
            <w:r>
              <w:t>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pStyle w:val="179"/>
            </w:pPr>
            <w:r>
              <w:rPr>
                <w:rFonts w:hint="eastAsia"/>
              </w:rPr>
              <w:t>应急方案</w:t>
            </w:r>
          </w:p>
        </w:tc>
        <w:tc>
          <w:tcPr>
            <w:tcW w:w="4678" w:type="dxa"/>
            <w:shd w:val="clear" w:color="auto" w:fill="auto"/>
          </w:tcPr>
          <w:p>
            <w:pPr>
              <w:pStyle w:val="179"/>
              <w:tabs>
                <w:tab w:val="left" w:pos="1040"/>
              </w:tabs>
              <w:ind w:left="63" w:leftChars="30"/>
              <w:jc w:val="left"/>
            </w:pPr>
            <w:r>
              <w:rPr>
                <w:rFonts w:hint="eastAsia"/>
              </w:rPr>
              <w:t>检查服务商是否有应对供应保障的应急具体方案，比如可从其他仓库调拨同类产品等，是则满分，否则0分</w:t>
            </w:r>
          </w:p>
        </w:tc>
        <w:tc>
          <w:tcPr>
            <w:tcW w:w="555" w:type="dxa"/>
            <w:shd w:val="clear" w:color="auto" w:fill="auto"/>
            <w:vAlign w:val="center"/>
          </w:tcPr>
          <w:p>
            <w:pPr>
              <w:pStyle w:val="179"/>
            </w:pPr>
            <w:r>
              <w:rPr>
                <w:rFonts w:hint="eastAsia"/>
              </w:rPr>
              <w:t>0</w:t>
            </w:r>
            <w: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restart"/>
            <w:shd w:val="clear" w:color="auto" w:fill="auto"/>
            <w:vAlign w:val="center"/>
          </w:tcPr>
          <w:p>
            <w:pPr>
              <w:pStyle w:val="179"/>
            </w:pPr>
            <w:r>
              <w:rPr>
                <w:rFonts w:hint="eastAsia"/>
              </w:rPr>
              <w:t>收货验收</w:t>
            </w:r>
          </w:p>
        </w:tc>
        <w:tc>
          <w:tcPr>
            <w:tcW w:w="567" w:type="dxa"/>
            <w:vMerge w:val="restart"/>
            <w:shd w:val="clear" w:color="auto" w:fill="auto"/>
            <w:vAlign w:val="center"/>
          </w:tcPr>
          <w:p>
            <w:pPr>
              <w:pStyle w:val="179"/>
            </w:pPr>
            <w:r>
              <w:rPr>
                <w:rFonts w:hint="eastAsia"/>
              </w:rPr>
              <w:t>0</w:t>
            </w:r>
            <w:r>
              <w:t>.05</w:t>
            </w:r>
          </w:p>
        </w:tc>
        <w:tc>
          <w:tcPr>
            <w:tcW w:w="850" w:type="dxa"/>
            <w:shd w:val="clear" w:color="auto" w:fill="auto"/>
            <w:vAlign w:val="center"/>
          </w:tcPr>
          <w:p>
            <w:pPr>
              <w:pStyle w:val="179"/>
            </w:pPr>
            <w:r>
              <w:rPr>
                <w:rFonts w:hint="eastAsia"/>
              </w:rPr>
              <w:t>收货</w:t>
            </w:r>
          </w:p>
        </w:tc>
        <w:tc>
          <w:tcPr>
            <w:tcW w:w="567" w:type="dxa"/>
            <w:shd w:val="clear" w:color="auto" w:fill="auto"/>
            <w:vAlign w:val="center"/>
          </w:tcPr>
          <w:p>
            <w:pPr>
              <w:pStyle w:val="179"/>
            </w:pPr>
            <w:r>
              <w:rPr>
                <w:rFonts w:hint="eastAsia"/>
              </w:rPr>
              <w:t>0.6</w:t>
            </w:r>
          </w:p>
        </w:tc>
        <w:tc>
          <w:tcPr>
            <w:tcW w:w="1134" w:type="dxa"/>
            <w:shd w:val="clear" w:color="auto" w:fill="auto"/>
            <w:vAlign w:val="center"/>
          </w:tcPr>
          <w:p>
            <w:pPr>
              <w:pStyle w:val="179"/>
            </w:pPr>
            <w:r>
              <w:rPr>
                <w:rFonts w:hint="eastAsia"/>
              </w:rPr>
              <w:t>收货场所</w:t>
            </w:r>
          </w:p>
        </w:tc>
        <w:tc>
          <w:tcPr>
            <w:tcW w:w="4678" w:type="dxa"/>
            <w:shd w:val="clear" w:color="auto" w:fill="auto"/>
          </w:tcPr>
          <w:p>
            <w:pPr>
              <w:pStyle w:val="179"/>
              <w:ind w:left="63" w:leftChars="30"/>
              <w:jc w:val="left"/>
            </w:pPr>
            <w:r>
              <w:rPr>
                <w:rFonts w:hint="eastAsia"/>
              </w:rPr>
              <w:t>随意抽取10个与医院各消耗点的订单对应的送货单，检查服务商是否完成配送于医院指定的场所，比如二级库房各个产品货架上，三级库房，护理治疗车等，有1个未完成订单扣20分，直至本项目分数扣完</w:t>
            </w:r>
          </w:p>
        </w:tc>
        <w:tc>
          <w:tcPr>
            <w:tcW w:w="555" w:type="dxa"/>
            <w:shd w:val="clear" w:color="auto" w:fill="auto"/>
            <w:vAlign w:val="center"/>
          </w:tcPr>
          <w:p>
            <w:pPr>
              <w:pStyle w:val="179"/>
            </w:pPr>
            <w:r>
              <w:rPr>
                <w:rFonts w:hint="eastAsia"/>
              </w:rPr>
              <w:t>1</w:t>
            </w:r>
            <w: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shd w:val="clear" w:color="auto" w:fill="auto"/>
            <w:vAlign w:val="center"/>
          </w:tcPr>
          <w:p>
            <w:pPr>
              <w:pStyle w:val="179"/>
            </w:pPr>
            <w:r>
              <w:rPr>
                <w:rFonts w:hint="eastAsia"/>
              </w:rPr>
              <w:t>验收</w:t>
            </w:r>
          </w:p>
        </w:tc>
        <w:tc>
          <w:tcPr>
            <w:tcW w:w="567" w:type="dxa"/>
            <w:shd w:val="clear" w:color="auto" w:fill="auto"/>
            <w:vAlign w:val="center"/>
          </w:tcPr>
          <w:p>
            <w:pPr>
              <w:pStyle w:val="179"/>
            </w:pPr>
            <w:r>
              <w:rPr>
                <w:rFonts w:hint="eastAsia"/>
              </w:rPr>
              <w:t>0.4</w:t>
            </w:r>
          </w:p>
        </w:tc>
        <w:tc>
          <w:tcPr>
            <w:tcW w:w="1134" w:type="dxa"/>
            <w:shd w:val="clear" w:color="auto" w:fill="auto"/>
            <w:vAlign w:val="center"/>
          </w:tcPr>
          <w:p>
            <w:pPr>
              <w:pStyle w:val="179"/>
            </w:pPr>
            <w:r>
              <w:rPr>
                <w:rFonts w:hint="eastAsia"/>
              </w:rPr>
              <w:t>温湿度管理</w:t>
            </w:r>
          </w:p>
        </w:tc>
        <w:tc>
          <w:tcPr>
            <w:tcW w:w="4678" w:type="dxa"/>
            <w:shd w:val="clear" w:color="auto" w:fill="auto"/>
          </w:tcPr>
          <w:p>
            <w:pPr>
              <w:pStyle w:val="179"/>
              <w:ind w:left="63" w:leftChars="30"/>
              <w:jc w:val="left"/>
            </w:pPr>
            <w:r>
              <w:rPr>
                <w:rFonts w:hint="eastAsia"/>
              </w:rPr>
              <w:t>随意抽取5个有温湿度控制要求的产品，检查收货验收时是否遵守温湿度控制要求，有1个未遵守要求的扣20分</w:t>
            </w:r>
          </w:p>
        </w:tc>
        <w:tc>
          <w:tcPr>
            <w:tcW w:w="555" w:type="dxa"/>
            <w:shd w:val="clear" w:color="auto" w:fill="auto"/>
            <w:vAlign w:val="center"/>
          </w:tcPr>
          <w:p>
            <w:pPr>
              <w:pStyle w:val="179"/>
            </w:pPr>
            <w:r>
              <w:rPr>
                <w:rFonts w:hint="eastAsia"/>
              </w:rPr>
              <w:t>1</w:t>
            </w:r>
            <w: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restart"/>
            <w:shd w:val="clear" w:color="auto" w:fill="auto"/>
            <w:vAlign w:val="center"/>
          </w:tcPr>
          <w:p>
            <w:pPr>
              <w:pStyle w:val="179"/>
            </w:pPr>
            <w:r>
              <w:rPr>
                <w:rFonts w:hint="eastAsia"/>
              </w:rPr>
              <w:t>储存养护</w:t>
            </w:r>
          </w:p>
        </w:tc>
        <w:tc>
          <w:tcPr>
            <w:tcW w:w="567" w:type="dxa"/>
            <w:vMerge w:val="restart"/>
            <w:shd w:val="clear" w:color="auto" w:fill="auto"/>
            <w:vAlign w:val="center"/>
          </w:tcPr>
          <w:p>
            <w:pPr>
              <w:pStyle w:val="179"/>
            </w:pPr>
            <w:r>
              <w:rPr>
                <w:rFonts w:hint="eastAsia"/>
              </w:rPr>
              <w:t>0</w:t>
            </w:r>
            <w:r>
              <w:t>.2</w:t>
            </w:r>
          </w:p>
        </w:tc>
        <w:tc>
          <w:tcPr>
            <w:tcW w:w="850" w:type="dxa"/>
            <w:vMerge w:val="restart"/>
            <w:shd w:val="clear" w:color="auto" w:fill="auto"/>
            <w:vAlign w:val="center"/>
          </w:tcPr>
          <w:p>
            <w:pPr>
              <w:pStyle w:val="179"/>
            </w:pPr>
            <w:r>
              <w:rPr>
                <w:rFonts w:hint="eastAsia"/>
              </w:rPr>
              <w:t>中心库管理</w:t>
            </w:r>
          </w:p>
        </w:tc>
        <w:tc>
          <w:tcPr>
            <w:tcW w:w="567" w:type="dxa"/>
            <w:vMerge w:val="restart"/>
            <w:shd w:val="clear" w:color="auto" w:fill="auto"/>
            <w:vAlign w:val="center"/>
          </w:tcPr>
          <w:p>
            <w:pPr>
              <w:pStyle w:val="179"/>
            </w:pPr>
            <w:r>
              <w:rPr>
                <w:rFonts w:hint="eastAsia"/>
              </w:rPr>
              <w:t>0</w:t>
            </w:r>
            <w:r>
              <w:t>.3</w:t>
            </w:r>
          </w:p>
        </w:tc>
        <w:tc>
          <w:tcPr>
            <w:tcW w:w="1134" w:type="dxa"/>
            <w:shd w:val="clear" w:color="auto" w:fill="auto"/>
            <w:vAlign w:val="center"/>
          </w:tcPr>
          <w:p>
            <w:pPr>
              <w:pStyle w:val="179"/>
            </w:pPr>
            <w:r>
              <w:rPr>
                <w:rFonts w:hint="eastAsia"/>
              </w:rPr>
              <w:t>中心库改造</w:t>
            </w:r>
          </w:p>
        </w:tc>
        <w:tc>
          <w:tcPr>
            <w:tcW w:w="4678" w:type="dxa"/>
            <w:shd w:val="clear" w:color="auto" w:fill="auto"/>
            <w:vAlign w:val="center"/>
          </w:tcPr>
          <w:p>
            <w:pPr>
              <w:pStyle w:val="179"/>
              <w:ind w:left="63" w:leftChars="30"/>
              <w:jc w:val="left"/>
            </w:pPr>
            <w:r>
              <w:rPr>
                <w:rFonts w:hint="eastAsia"/>
              </w:rPr>
              <w:t>检查服务商中心库是否根据国家GSP标准，严格按照3色5区标准进行改造，是则满分，否则0分</w:t>
            </w:r>
          </w:p>
        </w:tc>
        <w:tc>
          <w:tcPr>
            <w:tcW w:w="555" w:type="dxa"/>
            <w:shd w:val="clear" w:color="auto" w:fill="auto"/>
            <w:vAlign w:val="center"/>
          </w:tcPr>
          <w:p>
            <w:pPr>
              <w:pStyle w:val="179"/>
            </w:pPr>
            <w:r>
              <w:rPr>
                <w:rFonts w:hint="eastAsi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消防设施</w:t>
            </w:r>
          </w:p>
        </w:tc>
        <w:tc>
          <w:tcPr>
            <w:tcW w:w="4678" w:type="dxa"/>
            <w:shd w:val="clear" w:color="auto" w:fill="auto"/>
            <w:vAlign w:val="center"/>
          </w:tcPr>
          <w:p>
            <w:pPr>
              <w:pStyle w:val="179"/>
              <w:ind w:left="63" w:leftChars="30"/>
              <w:jc w:val="left"/>
            </w:pPr>
            <w:r>
              <w:rPr>
                <w:rFonts w:hint="eastAsia"/>
              </w:rPr>
              <w:t>检查服务商中心库是否有相应的消防安全设施，是则满分，否则0分</w:t>
            </w:r>
          </w:p>
        </w:tc>
        <w:tc>
          <w:tcPr>
            <w:tcW w:w="555" w:type="dxa"/>
            <w:shd w:val="clear" w:color="auto" w:fill="auto"/>
            <w:vAlign w:val="center"/>
          </w:tcPr>
          <w:p>
            <w:pPr>
              <w:pStyle w:val="179"/>
            </w:pPr>
            <w:r>
              <w:rPr>
                <w:rFonts w:hint="eastAsi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流程标牌</w:t>
            </w:r>
          </w:p>
        </w:tc>
        <w:tc>
          <w:tcPr>
            <w:tcW w:w="4678" w:type="dxa"/>
            <w:shd w:val="clear" w:color="auto" w:fill="auto"/>
            <w:vAlign w:val="center"/>
          </w:tcPr>
          <w:p>
            <w:pPr>
              <w:pStyle w:val="179"/>
              <w:ind w:left="63" w:leftChars="30"/>
              <w:jc w:val="left"/>
            </w:pPr>
            <w:r>
              <w:rPr>
                <w:rFonts w:hint="eastAsia"/>
              </w:rPr>
              <w:t>检查服务商中心库是否有相应的流程标识标牌，是则满分，否则0分</w:t>
            </w:r>
          </w:p>
        </w:tc>
        <w:tc>
          <w:tcPr>
            <w:tcW w:w="555" w:type="dxa"/>
            <w:shd w:val="clear" w:color="auto" w:fill="auto"/>
            <w:vAlign w:val="center"/>
          </w:tcPr>
          <w:p>
            <w:pPr>
              <w:pStyle w:val="179"/>
            </w:pPr>
            <w:r>
              <w:rPr>
                <w:rFonts w:hint="eastAsi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pStyle w:val="179"/>
            </w:pPr>
            <w:r>
              <w:rPr>
                <w:rFonts w:hint="eastAsia"/>
              </w:rPr>
              <w:t>温湿度管理</w:t>
            </w:r>
          </w:p>
        </w:tc>
        <w:tc>
          <w:tcPr>
            <w:tcW w:w="4678" w:type="dxa"/>
            <w:shd w:val="clear" w:color="auto" w:fill="auto"/>
            <w:vAlign w:val="center"/>
          </w:tcPr>
          <w:p>
            <w:pPr>
              <w:pStyle w:val="179"/>
              <w:ind w:left="63" w:leftChars="30"/>
              <w:jc w:val="left"/>
            </w:pPr>
            <w:r>
              <w:rPr>
                <w:rFonts w:hint="eastAsia"/>
              </w:rPr>
              <w:t>检查服务商中心库是否有完整的温度湿度检查记录，是则满分，否则0分</w:t>
            </w:r>
          </w:p>
        </w:tc>
        <w:tc>
          <w:tcPr>
            <w:tcW w:w="555" w:type="dxa"/>
            <w:shd w:val="clear" w:color="auto" w:fill="auto"/>
            <w:vAlign w:val="center"/>
          </w:tcPr>
          <w:p>
            <w:pPr>
              <w:pStyle w:val="179"/>
            </w:pPr>
            <w:r>
              <w:rPr>
                <w:rFonts w:hint="eastAsia"/>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产品叠高</w:t>
            </w:r>
          </w:p>
        </w:tc>
        <w:tc>
          <w:tcPr>
            <w:tcW w:w="4678" w:type="dxa"/>
            <w:shd w:val="clear" w:color="auto" w:fill="auto"/>
            <w:vAlign w:val="center"/>
          </w:tcPr>
          <w:p>
            <w:pPr>
              <w:pStyle w:val="179"/>
              <w:ind w:left="63" w:leftChars="30"/>
              <w:jc w:val="left"/>
            </w:pPr>
            <w:r>
              <w:rPr>
                <w:rFonts w:hint="eastAsia"/>
              </w:rPr>
              <w:t>随意抽取中心库内的5个产品，检查产品叠高是否符合产品外包装指定要求，有1个不符合产品扣20分</w:t>
            </w:r>
          </w:p>
        </w:tc>
        <w:tc>
          <w:tcPr>
            <w:tcW w:w="555" w:type="dxa"/>
            <w:shd w:val="clear" w:color="auto" w:fill="auto"/>
            <w:vAlign w:val="center"/>
          </w:tcPr>
          <w:p>
            <w:pPr>
              <w:pStyle w:val="179"/>
            </w:pPr>
            <w:r>
              <w:rPr>
                <w:rFonts w:hint="eastAsi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效期管理</w:t>
            </w:r>
          </w:p>
        </w:tc>
        <w:tc>
          <w:tcPr>
            <w:tcW w:w="4678" w:type="dxa"/>
            <w:shd w:val="clear" w:color="auto" w:fill="auto"/>
            <w:vAlign w:val="center"/>
          </w:tcPr>
          <w:p>
            <w:pPr>
              <w:pStyle w:val="179"/>
              <w:ind w:left="63" w:leftChars="30"/>
              <w:jc w:val="left"/>
            </w:pPr>
            <w:r>
              <w:rPr>
                <w:rFonts w:hint="eastAsia"/>
              </w:rPr>
              <w:t>检查SPD系统对在库的产品是否进行有效期跟踪，且及时对效期6个月以下的产品提出近效期警示，是则满分，否则0分</w:t>
            </w:r>
          </w:p>
        </w:tc>
        <w:tc>
          <w:tcPr>
            <w:tcW w:w="555" w:type="dxa"/>
            <w:shd w:val="clear" w:color="auto" w:fill="auto"/>
            <w:vAlign w:val="center"/>
          </w:tcPr>
          <w:p>
            <w:pPr>
              <w:pStyle w:val="179"/>
            </w:pPr>
            <w:r>
              <w:rPr>
                <w:rFonts w:hint="eastAsia"/>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盘点记录</w:t>
            </w:r>
          </w:p>
        </w:tc>
        <w:tc>
          <w:tcPr>
            <w:tcW w:w="4678" w:type="dxa"/>
            <w:shd w:val="clear" w:color="auto" w:fill="auto"/>
            <w:vAlign w:val="center"/>
          </w:tcPr>
          <w:p>
            <w:pPr>
              <w:pStyle w:val="179"/>
              <w:ind w:left="63" w:leftChars="30"/>
              <w:jc w:val="left"/>
            </w:pPr>
            <w:r>
              <w:rPr>
                <w:rFonts w:hint="eastAsia"/>
              </w:rPr>
              <w:t>检查服务商对中心库进行的动销盘点与周期性盘点记录，包含损溢记录，有具体的记录则满分，没有记录或记录内容不全则0分</w:t>
            </w:r>
          </w:p>
        </w:tc>
        <w:tc>
          <w:tcPr>
            <w:tcW w:w="555" w:type="dxa"/>
            <w:shd w:val="clear" w:color="auto" w:fill="auto"/>
            <w:vAlign w:val="center"/>
          </w:tcPr>
          <w:p>
            <w:pPr>
              <w:pStyle w:val="179"/>
            </w:pPr>
            <w:r>
              <w:rPr>
                <w:rFonts w:hint="eastAsia"/>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shd w:val="clear" w:color="auto" w:fill="auto"/>
            <w:vAlign w:val="center"/>
          </w:tcPr>
          <w:p>
            <w:pPr>
              <w:pStyle w:val="179"/>
            </w:pPr>
            <w:r>
              <w:rPr>
                <w:rFonts w:hint="eastAsia"/>
              </w:rPr>
              <w:t>二级库管理</w:t>
            </w:r>
          </w:p>
        </w:tc>
        <w:tc>
          <w:tcPr>
            <w:tcW w:w="567" w:type="dxa"/>
            <w:shd w:val="clear" w:color="auto" w:fill="auto"/>
            <w:vAlign w:val="center"/>
          </w:tcPr>
          <w:p>
            <w:pPr>
              <w:pStyle w:val="179"/>
            </w:pPr>
            <w:r>
              <w:rPr>
                <w:rFonts w:hint="eastAsia"/>
              </w:rPr>
              <w:t>0</w:t>
            </w:r>
            <w:r>
              <w:t>.7</w:t>
            </w:r>
          </w:p>
        </w:tc>
        <w:tc>
          <w:tcPr>
            <w:tcW w:w="1134" w:type="dxa"/>
            <w:shd w:val="clear" w:color="auto" w:fill="auto"/>
            <w:vAlign w:val="center"/>
          </w:tcPr>
          <w:p>
            <w:pPr>
              <w:pStyle w:val="179"/>
            </w:pPr>
            <w:r>
              <w:rPr>
                <w:rFonts w:hint="eastAsia"/>
              </w:rPr>
              <w:t>二级库改造</w:t>
            </w:r>
          </w:p>
        </w:tc>
        <w:tc>
          <w:tcPr>
            <w:tcW w:w="4678" w:type="dxa"/>
            <w:shd w:val="clear" w:color="auto" w:fill="auto"/>
            <w:vAlign w:val="center"/>
          </w:tcPr>
          <w:p>
            <w:pPr>
              <w:pStyle w:val="179"/>
              <w:ind w:left="63" w:leftChars="30"/>
              <w:jc w:val="left"/>
            </w:pPr>
            <w:r>
              <w:rPr>
                <w:rFonts w:hint="eastAsia"/>
              </w:rPr>
              <w:t>检查服务商是否根据医院需求，针对消耗点二级库进行装修、改造，是则满分，否则0分</w:t>
            </w:r>
          </w:p>
        </w:tc>
        <w:tc>
          <w:tcPr>
            <w:tcW w:w="555" w:type="dxa"/>
            <w:shd w:val="clear" w:color="auto" w:fill="auto"/>
            <w:vAlign w:val="center"/>
          </w:tcPr>
          <w:p>
            <w:pPr>
              <w:pStyle w:val="179"/>
            </w:pPr>
            <w:r>
              <w:rPr>
                <w:rFonts w:hint="eastAsia"/>
              </w:rPr>
              <w:t>0.15</w:t>
            </w:r>
          </w:p>
        </w:tc>
      </w:tr>
    </w:tbl>
    <w:p>
      <w:pPr>
        <w:pStyle w:val="57"/>
        <w:spacing w:before="120" w:beforeLines="50" w:after="120" w:afterLines="50"/>
        <w:ind w:firstLine="0" w:firstLineChars="0"/>
        <w:jc w:val="center"/>
        <w:rPr>
          <w:rFonts w:ascii="黑体" w:hAnsi="黑体" w:eastAsia="黑体"/>
        </w:rPr>
      </w:pPr>
    </w:p>
    <w:p>
      <w:pPr>
        <w:pStyle w:val="57"/>
        <w:spacing w:before="120" w:beforeLines="50" w:after="120" w:afterLines="50"/>
        <w:ind w:firstLine="0" w:firstLineChars="0"/>
        <w:jc w:val="center"/>
        <w:rPr>
          <w:rFonts w:ascii="黑体" w:hAnsi="黑体" w:eastAsia="黑体"/>
        </w:rPr>
      </w:pPr>
      <w:r>
        <w:rPr>
          <w:rFonts w:hint="eastAsia" w:ascii="黑体" w:hAnsi="黑体" w:eastAsia="黑体"/>
        </w:rPr>
        <w:t>表1  医院院内物流服务质量评价指标</w:t>
      </w:r>
      <w:r>
        <w:rPr>
          <w:rFonts w:hint="eastAsia" w:hAnsi="宋体"/>
        </w:rPr>
        <w:t>（续）</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83"/>
        <w:gridCol w:w="567"/>
        <w:gridCol w:w="850"/>
        <w:gridCol w:w="567"/>
        <w:gridCol w:w="1134"/>
        <w:gridCol w:w="4678"/>
        <w:gridCol w:w="5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550" w:type="dxa"/>
            <w:gridSpan w:val="2"/>
            <w:tcBorders>
              <w:top w:val="single" w:color="auto" w:sz="8" w:space="0"/>
              <w:bottom w:val="single" w:color="auto" w:sz="8" w:space="0"/>
            </w:tcBorders>
            <w:shd w:val="clear" w:color="auto" w:fill="auto"/>
            <w:vAlign w:val="center"/>
          </w:tcPr>
          <w:p>
            <w:pPr>
              <w:pStyle w:val="179"/>
            </w:pPr>
            <w:r>
              <w:rPr>
                <w:rFonts w:hint="eastAsia"/>
              </w:rPr>
              <w:t>一级指标</w:t>
            </w:r>
          </w:p>
        </w:tc>
        <w:tc>
          <w:tcPr>
            <w:tcW w:w="1417" w:type="dxa"/>
            <w:gridSpan w:val="2"/>
            <w:tcBorders>
              <w:top w:val="single" w:color="auto" w:sz="8" w:space="0"/>
              <w:bottom w:val="single" w:color="auto" w:sz="8" w:space="0"/>
            </w:tcBorders>
            <w:shd w:val="clear" w:color="auto" w:fill="auto"/>
            <w:vAlign w:val="center"/>
          </w:tcPr>
          <w:p>
            <w:pPr>
              <w:pStyle w:val="179"/>
            </w:pPr>
            <w:r>
              <w:rPr>
                <w:rFonts w:hint="eastAsia"/>
              </w:rPr>
              <w:t>二级指标</w:t>
            </w:r>
          </w:p>
        </w:tc>
        <w:tc>
          <w:tcPr>
            <w:tcW w:w="6367" w:type="dxa"/>
            <w:gridSpan w:val="3"/>
            <w:tcBorders>
              <w:top w:val="single" w:color="auto" w:sz="8" w:space="0"/>
              <w:bottom w:val="single" w:color="auto" w:sz="8" w:space="0"/>
            </w:tcBorders>
            <w:shd w:val="clear" w:color="auto" w:fill="auto"/>
            <w:vAlign w:val="center"/>
          </w:tcPr>
          <w:p>
            <w:pPr>
              <w:pStyle w:val="179"/>
            </w:pPr>
            <w:r>
              <w:rPr>
                <w:rFonts w:hint="eastAsia"/>
              </w:rPr>
              <w:t>三级指标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shd w:val="clear" w:color="auto" w:fill="auto"/>
            <w:vAlign w:val="center"/>
          </w:tcPr>
          <w:p>
            <w:pPr>
              <w:pStyle w:val="179"/>
            </w:pPr>
            <w:r>
              <w:rPr>
                <w:rFonts w:hint="eastAsia"/>
              </w:rPr>
              <w:t>服务类型(S1)</w:t>
            </w:r>
          </w:p>
        </w:tc>
        <w:tc>
          <w:tcPr>
            <w:tcW w:w="567" w:type="dxa"/>
            <w:shd w:val="clear" w:color="auto" w:fill="auto"/>
            <w:vAlign w:val="center"/>
          </w:tcPr>
          <w:p>
            <w:pPr>
              <w:pStyle w:val="179"/>
            </w:pPr>
            <w:r>
              <w:rPr>
                <w:rFonts w:hint="eastAsia"/>
              </w:rPr>
              <w:t>权值</w:t>
            </w:r>
          </w:p>
        </w:tc>
        <w:tc>
          <w:tcPr>
            <w:tcW w:w="850" w:type="dxa"/>
            <w:shd w:val="clear" w:color="auto" w:fill="auto"/>
            <w:vAlign w:val="center"/>
          </w:tcPr>
          <w:p>
            <w:pPr>
              <w:pStyle w:val="179"/>
            </w:pPr>
            <w:r>
              <w:rPr>
                <w:rFonts w:hint="eastAsia"/>
              </w:rPr>
              <w:t>服务内容(S2)</w:t>
            </w:r>
          </w:p>
        </w:tc>
        <w:tc>
          <w:tcPr>
            <w:tcW w:w="567" w:type="dxa"/>
            <w:shd w:val="clear" w:color="auto" w:fill="auto"/>
            <w:vAlign w:val="center"/>
          </w:tcPr>
          <w:p>
            <w:pPr>
              <w:pStyle w:val="179"/>
            </w:pPr>
            <w:r>
              <w:rPr>
                <w:rFonts w:hint="eastAsia"/>
              </w:rPr>
              <w:t>权值</w:t>
            </w:r>
          </w:p>
        </w:tc>
        <w:tc>
          <w:tcPr>
            <w:tcW w:w="1134" w:type="dxa"/>
            <w:shd w:val="clear" w:color="auto" w:fill="auto"/>
            <w:vAlign w:val="center"/>
          </w:tcPr>
          <w:p>
            <w:pPr>
              <w:pStyle w:val="179"/>
            </w:pPr>
            <w:r>
              <w:rPr>
                <w:rFonts w:hint="eastAsia"/>
              </w:rPr>
              <w:t>检查</w:t>
            </w:r>
          </w:p>
          <w:p>
            <w:pPr>
              <w:pStyle w:val="179"/>
            </w:pPr>
            <w:r>
              <w:rPr>
                <w:rFonts w:hint="eastAsia"/>
              </w:rPr>
              <w:t>内容(S3)</w:t>
            </w:r>
          </w:p>
        </w:tc>
        <w:tc>
          <w:tcPr>
            <w:tcW w:w="4678" w:type="dxa"/>
            <w:shd w:val="clear" w:color="auto" w:fill="auto"/>
            <w:vAlign w:val="center"/>
          </w:tcPr>
          <w:p>
            <w:pPr>
              <w:pStyle w:val="179"/>
            </w:pPr>
            <w:r>
              <w:rPr>
                <w:rFonts w:hint="eastAsia"/>
              </w:rPr>
              <w:t>具体检查方式</w:t>
            </w:r>
          </w:p>
        </w:tc>
        <w:tc>
          <w:tcPr>
            <w:tcW w:w="555" w:type="dxa"/>
            <w:shd w:val="clear" w:color="auto" w:fill="auto"/>
            <w:vAlign w:val="center"/>
          </w:tcPr>
          <w:p>
            <w:pPr>
              <w:pStyle w:val="179"/>
            </w:pPr>
            <w:r>
              <w:rPr>
                <w:rFonts w:hint="eastAsia"/>
              </w:rPr>
              <w:t>权值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restart"/>
            <w:shd w:val="clear" w:color="auto" w:fill="auto"/>
            <w:vAlign w:val="center"/>
          </w:tcPr>
          <w:p>
            <w:pPr>
              <w:pStyle w:val="179"/>
            </w:pPr>
            <w:r>
              <w:rPr>
                <w:rFonts w:hint="eastAsia"/>
              </w:rPr>
              <w:t>储存养护</w:t>
            </w:r>
          </w:p>
        </w:tc>
        <w:tc>
          <w:tcPr>
            <w:tcW w:w="567" w:type="dxa"/>
            <w:vMerge w:val="restart"/>
            <w:shd w:val="clear" w:color="auto" w:fill="auto"/>
            <w:vAlign w:val="center"/>
          </w:tcPr>
          <w:p>
            <w:pPr>
              <w:pStyle w:val="179"/>
            </w:pPr>
            <w:r>
              <w:rPr>
                <w:rFonts w:hint="eastAsia"/>
              </w:rPr>
              <w:t>0</w:t>
            </w:r>
            <w:r>
              <w:t>.2</w:t>
            </w:r>
          </w:p>
        </w:tc>
        <w:tc>
          <w:tcPr>
            <w:tcW w:w="850" w:type="dxa"/>
            <w:vMerge w:val="restart"/>
            <w:shd w:val="clear" w:color="auto" w:fill="auto"/>
            <w:vAlign w:val="center"/>
          </w:tcPr>
          <w:p>
            <w:pPr>
              <w:pStyle w:val="179"/>
            </w:pPr>
            <w:r>
              <w:rPr>
                <w:rFonts w:hint="eastAsia"/>
              </w:rPr>
              <w:t>二级库管理</w:t>
            </w:r>
          </w:p>
        </w:tc>
        <w:tc>
          <w:tcPr>
            <w:tcW w:w="567" w:type="dxa"/>
            <w:vMerge w:val="restart"/>
            <w:shd w:val="clear" w:color="auto" w:fill="auto"/>
            <w:vAlign w:val="center"/>
          </w:tcPr>
          <w:p>
            <w:pPr>
              <w:pStyle w:val="179"/>
            </w:pPr>
            <w:r>
              <w:rPr>
                <w:rFonts w:hint="eastAsia"/>
              </w:rPr>
              <w:t>0</w:t>
            </w:r>
            <w:r>
              <w:t>.7</w:t>
            </w:r>
          </w:p>
        </w:tc>
        <w:tc>
          <w:tcPr>
            <w:tcW w:w="1134" w:type="dxa"/>
            <w:shd w:val="clear" w:color="auto" w:fill="auto"/>
            <w:vAlign w:val="center"/>
          </w:tcPr>
          <w:p>
            <w:pPr>
              <w:pStyle w:val="179"/>
            </w:pPr>
            <w:r>
              <w:rPr>
                <w:rFonts w:hint="eastAsia"/>
              </w:rPr>
              <w:t>库位管理</w:t>
            </w:r>
          </w:p>
        </w:tc>
        <w:tc>
          <w:tcPr>
            <w:tcW w:w="4678" w:type="dxa"/>
            <w:shd w:val="clear" w:color="auto" w:fill="auto"/>
            <w:vAlign w:val="center"/>
          </w:tcPr>
          <w:p>
            <w:pPr>
              <w:pStyle w:val="179"/>
              <w:ind w:left="63" w:leftChars="30"/>
              <w:jc w:val="left"/>
            </w:pPr>
            <w:r>
              <w:rPr>
                <w:rFonts w:hint="eastAsia"/>
              </w:rPr>
              <w:t>检查服务商是否根据医院需求，针对消耗点二级库充分利用空间调整物资货架及库位，保持产品摆放整齐，是则满分，否则0分</w:t>
            </w:r>
          </w:p>
        </w:tc>
        <w:tc>
          <w:tcPr>
            <w:tcW w:w="555" w:type="dxa"/>
            <w:shd w:val="clear" w:color="auto" w:fill="auto"/>
            <w:vAlign w:val="center"/>
          </w:tcPr>
          <w:p>
            <w:pPr>
              <w:pStyle w:val="179"/>
            </w:pPr>
            <w:r>
              <w:rPr>
                <w:rFonts w:hint="eastAsia"/>
              </w:rPr>
              <w:t xml:space="preserve">0.2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pStyle w:val="179"/>
            </w:pPr>
            <w:r>
              <w:rPr>
                <w:rFonts w:hint="eastAsia"/>
              </w:rPr>
              <w:t>产品分类管理</w:t>
            </w:r>
          </w:p>
        </w:tc>
        <w:tc>
          <w:tcPr>
            <w:tcW w:w="4678" w:type="dxa"/>
            <w:shd w:val="clear" w:color="auto" w:fill="auto"/>
            <w:vAlign w:val="center"/>
          </w:tcPr>
          <w:p>
            <w:pPr>
              <w:pStyle w:val="179"/>
              <w:ind w:left="63" w:leftChars="30"/>
              <w:jc w:val="left"/>
            </w:pPr>
            <w:r>
              <w:rPr>
                <w:rFonts w:hint="eastAsia"/>
              </w:rPr>
              <w:t>检查服务商是否根据医院需求，针对消耗点二级库的产品进行品规分类管理，是则满分，否则0分</w:t>
            </w:r>
          </w:p>
        </w:tc>
        <w:tc>
          <w:tcPr>
            <w:tcW w:w="555" w:type="dxa"/>
            <w:shd w:val="clear" w:color="auto" w:fill="auto"/>
            <w:vAlign w:val="center"/>
          </w:tcPr>
          <w:p>
            <w:pPr>
              <w:pStyle w:val="179"/>
            </w:pPr>
            <w:r>
              <w:rPr>
                <w:rFonts w:hint="eastAsia"/>
              </w:rPr>
              <w:t xml:space="preserve">0.15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pStyle w:val="179"/>
            </w:pPr>
            <w:r>
              <w:rPr>
                <w:rFonts w:hint="eastAsia"/>
              </w:rPr>
              <w:t>温湿度管理</w:t>
            </w:r>
          </w:p>
        </w:tc>
        <w:tc>
          <w:tcPr>
            <w:tcW w:w="4678" w:type="dxa"/>
            <w:shd w:val="clear" w:color="auto" w:fill="auto"/>
            <w:vAlign w:val="center"/>
          </w:tcPr>
          <w:p>
            <w:pPr>
              <w:pStyle w:val="179"/>
              <w:ind w:left="63" w:leftChars="30"/>
              <w:jc w:val="left"/>
            </w:pPr>
            <w:r>
              <w:rPr>
                <w:rFonts w:hint="eastAsia"/>
              </w:rPr>
              <w:t>检查服务商是否通过温度监控系统对有温控要求的产品进行全程不断链的温度控制、监测及预警，是则满分，否则0分</w:t>
            </w:r>
          </w:p>
        </w:tc>
        <w:tc>
          <w:tcPr>
            <w:tcW w:w="555" w:type="dxa"/>
            <w:shd w:val="clear" w:color="auto" w:fill="auto"/>
            <w:vAlign w:val="center"/>
          </w:tcPr>
          <w:p>
            <w:pPr>
              <w:pStyle w:val="179"/>
            </w:pPr>
            <w:r>
              <w:rPr>
                <w:rFonts w:hint="eastAsia"/>
              </w:rPr>
              <w:t xml:space="preserve">0.3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盘点记录</w:t>
            </w:r>
          </w:p>
        </w:tc>
        <w:tc>
          <w:tcPr>
            <w:tcW w:w="4678" w:type="dxa"/>
            <w:shd w:val="clear" w:color="auto" w:fill="auto"/>
            <w:vAlign w:val="center"/>
          </w:tcPr>
          <w:p>
            <w:pPr>
              <w:pStyle w:val="179"/>
              <w:ind w:left="63" w:leftChars="30"/>
              <w:jc w:val="left"/>
            </w:pPr>
            <w:r>
              <w:rPr>
                <w:rFonts w:hint="eastAsia"/>
              </w:rPr>
              <w:t>检查服务商对消耗点二级库进行的动销盘点与周期性盘点记录，包含损溢记录，有具体的记录则满分，没有记录或记录内容不全则0分</w:t>
            </w:r>
          </w:p>
        </w:tc>
        <w:tc>
          <w:tcPr>
            <w:tcW w:w="555" w:type="dxa"/>
            <w:shd w:val="clear" w:color="auto" w:fill="auto"/>
            <w:vAlign w:val="center"/>
          </w:tcPr>
          <w:p>
            <w:pPr>
              <w:pStyle w:val="179"/>
            </w:pPr>
            <w:r>
              <w:rPr>
                <w:rFonts w:hint="eastAsia"/>
              </w:rPr>
              <w:t xml:space="preserve">0.2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restart"/>
            <w:shd w:val="clear" w:color="auto" w:fill="auto"/>
            <w:vAlign w:val="center"/>
          </w:tcPr>
          <w:p>
            <w:pPr>
              <w:pStyle w:val="179"/>
            </w:pPr>
            <w:r>
              <w:rPr>
                <w:rFonts w:hint="eastAsia"/>
              </w:rPr>
              <w:t>调配调剂</w:t>
            </w:r>
          </w:p>
        </w:tc>
        <w:tc>
          <w:tcPr>
            <w:tcW w:w="567" w:type="dxa"/>
            <w:vMerge w:val="restart"/>
            <w:shd w:val="clear" w:color="auto" w:fill="auto"/>
            <w:vAlign w:val="center"/>
          </w:tcPr>
          <w:p>
            <w:pPr>
              <w:pStyle w:val="179"/>
            </w:pPr>
            <w:r>
              <w:rPr>
                <w:rFonts w:hint="eastAsia"/>
              </w:rPr>
              <w:t>0</w:t>
            </w:r>
            <w:r>
              <w:t>.1</w:t>
            </w:r>
          </w:p>
        </w:tc>
        <w:tc>
          <w:tcPr>
            <w:tcW w:w="850" w:type="dxa"/>
            <w:vMerge w:val="restart"/>
            <w:shd w:val="clear" w:color="auto" w:fill="auto"/>
            <w:vAlign w:val="center"/>
          </w:tcPr>
          <w:p>
            <w:pPr>
              <w:pStyle w:val="179"/>
            </w:pPr>
            <w:r>
              <w:rPr>
                <w:rFonts w:hint="eastAsia"/>
              </w:rPr>
              <w:t>定数包管理</w:t>
            </w:r>
          </w:p>
        </w:tc>
        <w:tc>
          <w:tcPr>
            <w:tcW w:w="567" w:type="dxa"/>
            <w:vMerge w:val="restart"/>
            <w:shd w:val="clear" w:color="auto" w:fill="auto"/>
            <w:vAlign w:val="center"/>
          </w:tcPr>
          <w:p>
            <w:pPr>
              <w:pStyle w:val="179"/>
            </w:pPr>
            <w:r>
              <w:rPr>
                <w:rFonts w:hint="eastAsia"/>
              </w:rPr>
              <w:t>1</w:t>
            </w:r>
            <w:r>
              <w:t>.0</w:t>
            </w: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标签信息</w:t>
            </w:r>
          </w:p>
        </w:tc>
        <w:tc>
          <w:tcPr>
            <w:tcW w:w="4678" w:type="dxa"/>
            <w:shd w:val="clear" w:color="auto" w:fill="auto"/>
            <w:vAlign w:val="center"/>
          </w:tcPr>
          <w:p>
            <w:pPr>
              <w:pStyle w:val="179"/>
              <w:ind w:left="63" w:leftChars="30"/>
              <w:jc w:val="left"/>
            </w:pPr>
            <w:r>
              <w:rPr>
                <w:rFonts w:hint="eastAsia"/>
              </w:rPr>
              <w:t>随意抽取消耗点二级库内10个进行标签管理的产品（标签包含但不限于二维码标签/RFID标签），检查标签信息是否与产品外包装合格证上的信息完全一致，有1个不完全一致扣20分，直至本项目分数扣完</w:t>
            </w:r>
          </w:p>
        </w:tc>
        <w:tc>
          <w:tcPr>
            <w:tcW w:w="555" w:type="dxa"/>
            <w:shd w:val="clear" w:color="auto" w:fill="auto"/>
            <w:vAlign w:val="center"/>
          </w:tcPr>
          <w:p>
            <w:pPr>
              <w:pStyle w:val="179"/>
            </w:pPr>
            <w:r>
              <w:rPr>
                <w:rFonts w:hint="eastAsia"/>
              </w:rPr>
              <w:t xml:space="preserve">0.6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包装情况</w:t>
            </w:r>
          </w:p>
        </w:tc>
        <w:tc>
          <w:tcPr>
            <w:tcW w:w="4678" w:type="dxa"/>
            <w:shd w:val="clear" w:color="auto" w:fill="auto"/>
            <w:vAlign w:val="center"/>
          </w:tcPr>
          <w:p>
            <w:pPr>
              <w:pStyle w:val="179"/>
              <w:ind w:left="63" w:leftChars="30"/>
              <w:jc w:val="left"/>
            </w:pPr>
            <w:r>
              <w:rPr>
                <w:rFonts w:hint="eastAsia"/>
              </w:rPr>
              <w:t>随意抽取消耗点二级库内10个进行标签管理的产品，检查产品是否因标签管理导致的外层包装是否因标签管理导致有所损坏（包含进行过拆分加工的产品外包装）的情况，有一个扣20分，直至本项目分数扣完</w:t>
            </w:r>
          </w:p>
        </w:tc>
        <w:tc>
          <w:tcPr>
            <w:tcW w:w="555" w:type="dxa"/>
            <w:shd w:val="clear" w:color="auto" w:fill="auto"/>
            <w:vAlign w:val="center"/>
          </w:tcPr>
          <w:p>
            <w:pPr>
              <w:pStyle w:val="179"/>
            </w:pPr>
            <w:r>
              <w:rPr>
                <w:rFonts w:hint="eastAsia"/>
              </w:rPr>
              <w:t xml:space="preserve">0.4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restart"/>
            <w:shd w:val="clear" w:color="auto" w:fill="auto"/>
            <w:vAlign w:val="center"/>
          </w:tcPr>
          <w:p>
            <w:pPr>
              <w:pStyle w:val="179"/>
            </w:pPr>
            <w:r>
              <w:rPr>
                <w:rFonts w:hint="eastAsia"/>
              </w:rPr>
              <w:t>定点配送</w:t>
            </w:r>
          </w:p>
        </w:tc>
        <w:tc>
          <w:tcPr>
            <w:tcW w:w="567" w:type="dxa"/>
            <w:vMerge w:val="restart"/>
            <w:shd w:val="clear" w:color="auto" w:fill="auto"/>
            <w:vAlign w:val="center"/>
          </w:tcPr>
          <w:p>
            <w:pPr>
              <w:pStyle w:val="179"/>
            </w:pPr>
            <w:r>
              <w:rPr>
                <w:rFonts w:hint="eastAsia"/>
              </w:rPr>
              <w:t>0</w:t>
            </w:r>
            <w:r>
              <w:t>.2</w:t>
            </w:r>
          </w:p>
        </w:tc>
        <w:tc>
          <w:tcPr>
            <w:tcW w:w="850" w:type="dxa"/>
            <w:shd w:val="clear" w:color="auto" w:fill="auto"/>
            <w:vAlign w:val="center"/>
          </w:tcPr>
          <w:p>
            <w:pPr>
              <w:pStyle w:val="179"/>
            </w:pPr>
            <w:r>
              <w:rPr>
                <w:rFonts w:hint="eastAsia"/>
              </w:rPr>
              <w:t>订单响应</w:t>
            </w:r>
          </w:p>
        </w:tc>
        <w:tc>
          <w:tcPr>
            <w:tcW w:w="567" w:type="dxa"/>
            <w:shd w:val="clear" w:color="auto" w:fill="auto"/>
            <w:vAlign w:val="center"/>
          </w:tcPr>
          <w:p>
            <w:pPr>
              <w:pStyle w:val="179"/>
            </w:pPr>
            <w:r>
              <w:rPr>
                <w:rFonts w:hint="eastAsia"/>
              </w:rPr>
              <w:t>0.15</w:t>
            </w:r>
          </w:p>
        </w:tc>
        <w:tc>
          <w:tcPr>
            <w:tcW w:w="1134" w:type="dxa"/>
            <w:shd w:val="clear" w:color="auto" w:fill="auto"/>
            <w:vAlign w:val="center"/>
          </w:tcPr>
          <w:p>
            <w:pPr>
              <w:pStyle w:val="179"/>
            </w:pPr>
            <w:r>
              <w:rPr>
                <w:rFonts w:hint="eastAsia"/>
              </w:rPr>
              <w:t>订单响应速度</w:t>
            </w:r>
          </w:p>
        </w:tc>
        <w:tc>
          <w:tcPr>
            <w:tcW w:w="4678" w:type="dxa"/>
            <w:shd w:val="clear" w:color="auto" w:fill="auto"/>
            <w:vAlign w:val="center"/>
          </w:tcPr>
          <w:p>
            <w:pPr>
              <w:pStyle w:val="179"/>
              <w:ind w:left="63" w:leftChars="30"/>
              <w:jc w:val="left"/>
            </w:pPr>
            <w:r>
              <w:rPr>
                <w:rFonts w:hint="eastAsia"/>
              </w:rPr>
              <w:t>随意抽取10个医院各消耗点的订单及对应的送货单，检查服务商是否在3个工作日以内响应订单且完成配送，有1个非完成配送的订单扣20分，直至本项目分数扣完（该项目仅检查订单响应速度，因断货，配送产品不一致而导致没有完全完成配送的订单应在其他对应的项目扣分）</w:t>
            </w:r>
          </w:p>
        </w:tc>
        <w:tc>
          <w:tcPr>
            <w:tcW w:w="555" w:type="dxa"/>
            <w:shd w:val="clear" w:color="auto" w:fill="auto"/>
            <w:vAlign w:val="center"/>
          </w:tcPr>
          <w:p>
            <w:pPr>
              <w:pStyle w:val="179"/>
            </w:pPr>
            <w:r>
              <w:rPr>
                <w:rFonts w:hint="eastAsia"/>
              </w:rPr>
              <w:t xml:space="preserve">1.0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restart"/>
            <w:shd w:val="clear" w:color="auto" w:fill="auto"/>
            <w:vAlign w:val="center"/>
          </w:tcPr>
          <w:p>
            <w:pPr>
              <w:pStyle w:val="179"/>
            </w:pPr>
            <w:r>
              <w:rPr>
                <w:rFonts w:hint="eastAsia"/>
              </w:rPr>
              <w:t>配送</w:t>
            </w:r>
          </w:p>
        </w:tc>
        <w:tc>
          <w:tcPr>
            <w:tcW w:w="567" w:type="dxa"/>
            <w:vMerge w:val="restart"/>
            <w:shd w:val="clear" w:color="auto" w:fill="auto"/>
            <w:vAlign w:val="center"/>
          </w:tcPr>
          <w:p>
            <w:pPr>
              <w:pStyle w:val="179"/>
            </w:pPr>
            <w:r>
              <w:rPr>
                <w:rFonts w:hint="eastAsia"/>
              </w:rPr>
              <w:t>0</w:t>
            </w:r>
            <w:r>
              <w:t>.55</w:t>
            </w: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配送准确性</w:t>
            </w:r>
          </w:p>
        </w:tc>
        <w:tc>
          <w:tcPr>
            <w:tcW w:w="4678" w:type="dxa"/>
            <w:shd w:val="clear" w:color="auto" w:fill="auto"/>
            <w:vAlign w:val="center"/>
          </w:tcPr>
          <w:p>
            <w:pPr>
              <w:pStyle w:val="179"/>
              <w:ind w:left="63" w:leftChars="30"/>
              <w:jc w:val="left"/>
            </w:pPr>
            <w:r>
              <w:rPr>
                <w:rFonts w:hint="eastAsia"/>
              </w:rPr>
              <w:t>随意抽取10个医院各消耗点的订单及对应的送货单，检查订单信息，送货单信息，实际配送的产品是否完全一致，有1个不完全一致的订单扣20分，直至本项目分数扣完</w:t>
            </w:r>
          </w:p>
        </w:tc>
        <w:tc>
          <w:tcPr>
            <w:tcW w:w="555" w:type="dxa"/>
            <w:shd w:val="clear" w:color="auto" w:fill="auto"/>
            <w:vAlign w:val="center"/>
          </w:tcPr>
          <w:p>
            <w:pPr>
              <w:pStyle w:val="179"/>
            </w:pPr>
            <w:r>
              <w:rPr>
                <w:rFonts w:hint="eastAsia"/>
              </w:rPr>
              <w:t xml:space="preserve">0.5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批号管理</w:t>
            </w:r>
          </w:p>
        </w:tc>
        <w:tc>
          <w:tcPr>
            <w:tcW w:w="4678" w:type="dxa"/>
            <w:shd w:val="clear" w:color="auto" w:fill="auto"/>
            <w:vAlign w:val="center"/>
          </w:tcPr>
          <w:p>
            <w:pPr>
              <w:pStyle w:val="179"/>
              <w:ind w:left="63" w:leftChars="30"/>
              <w:jc w:val="left"/>
            </w:pPr>
            <w:r>
              <w:rPr>
                <w:rFonts w:hint="eastAsia"/>
              </w:rPr>
              <w:t>随意抽取5个医院各消耗点的包含同一个产品的订单及对应的送货单，检查服务商是否遵循“先产先出，近期先出”或按照指定批号进行配送，有1个不遵循规则的订单扣2</w:t>
            </w:r>
            <w:r>
              <w:t>0</w:t>
            </w:r>
            <w:r>
              <w:rPr>
                <w:rFonts w:hint="eastAsia"/>
              </w:rPr>
              <w:t>分。</w:t>
            </w:r>
          </w:p>
        </w:tc>
        <w:tc>
          <w:tcPr>
            <w:tcW w:w="555" w:type="dxa"/>
            <w:shd w:val="clear" w:color="auto" w:fill="auto"/>
            <w:vAlign w:val="center"/>
          </w:tcPr>
          <w:p>
            <w:pPr>
              <w:pStyle w:val="179"/>
            </w:pPr>
            <w:r>
              <w:rPr>
                <w:rFonts w:hint="eastAsia"/>
              </w:rPr>
              <w:t xml:space="preserve">0.3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外包装</w:t>
            </w:r>
          </w:p>
        </w:tc>
        <w:tc>
          <w:tcPr>
            <w:tcW w:w="4678" w:type="dxa"/>
            <w:shd w:val="clear" w:color="auto" w:fill="auto"/>
            <w:vAlign w:val="center"/>
          </w:tcPr>
          <w:p>
            <w:pPr>
              <w:pStyle w:val="179"/>
              <w:ind w:left="63" w:leftChars="30"/>
              <w:jc w:val="left"/>
            </w:pPr>
            <w:r>
              <w:rPr>
                <w:rFonts w:hint="eastAsia"/>
              </w:rPr>
              <w:t>随意抽取消耗点二级库内10个产品，检查产品是否因配送时没有做好措施导致产品无菌包装有所损坏（如雨天时没有做任何防雨措施而导致外包装有所损坏），有1个扣20分，直至本项目分数扣完</w:t>
            </w:r>
          </w:p>
        </w:tc>
        <w:tc>
          <w:tcPr>
            <w:tcW w:w="555" w:type="dxa"/>
            <w:shd w:val="clear" w:color="auto" w:fill="auto"/>
            <w:vAlign w:val="center"/>
          </w:tcPr>
          <w:p>
            <w:pPr>
              <w:pStyle w:val="179"/>
            </w:pPr>
            <w:r>
              <w:rPr>
                <w:rFonts w:hint="eastAsia"/>
              </w:rPr>
              <w:t xml:space="preserve">0.2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shd w:val="clear" w:color="auto" w:fill="auto"/>
            <w:vAlign w:val="center"/>
          </w:tcPr>
          <w:p>
            <w:pPr>
              <w:pStyle w:val="179"/>
            </w:pPr>
            <w:r>
              <w:rPr>
                <w:rFonts w:hint="eastAsia"/>
              </w:rPr>
              <w:t>产品追溯</w:t>
            </w:r>
          </w:p>
        </w:tc>
        <w:tc>
          <w:tcPr>
            <w:tcW w:w="567" w:type="dxa"/>
            <w:shd w:val="clear" w:color="auto" w:fill="auto"/>
            <w:vAlign w:val="center"/>
          </w:tcPr>
          <w:p>
            <w:pPr>
              <w:pStyle w:val="179"/>
            </w:pPr>
            <w:r>
              <w:rPr>
                <w:rFonts w:hint="eastAsia"/>
              </w:rPr>
              <w:t>0.3</w:t>
            </w: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可追溯性</w:t>
            </w:r>
          </w:p>
        </w:tc>
        <w:tc>
          <w:tcPr>
            <w:tcW w:w="4678" w:type="dxa"/>
            <w:shd w:val="clear" w:color="auto" w:fill="auto"/>
            <w:vAlign w:val="center"/>
          </w:tcPr>
          <w:p>
            <w:pPr>
              <w:pStyle w:val="179"/>
              <w:ind w:left="63" w:leftChars="30"/>
              <w:jc w:val="left"/>
            </w:pPr>
            <w:r>
              <w:rPr>
                <w:rFonts w:hint="eastAsia"/>
              </w:rPr>
              <w:t>检查植介入性产品或体外诊断试剂是否可以追溯，可追溯到病人得50分，追溯到院内物流得30分（不包含追溯到病人），不可追溯则0分，可通过系统或智能设备追溯得50分，需要通过手工进行追溯得30分</w:t>
            </w:r>
          </w:p>
        </w:tc>
        <w:tc>
          <w:tcPr>
            <w:tcW w:w="555" w:type="dxa"/>
            <w:shd w:val="clear" w:color="auto" w:fill="auto"/>
            <w:vAlign w:val="center"/>
          </w:tcPr>
          <w:p>
            <w:pPr>
              <w:pStyle w:val="179"/>
            </w:pPr>
            <w:r>
              <w:rPr>
                <w:rFonts w:hint="eastAsia"/>
              </w:rPr>
              <w:t xml:space="preserve">1.0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restart"/>
            <w:shd w:val="clear" w:color="auto" w:fill="auto"/>
            <w:vAlign w:val="center"/>
          </w:tcPr>
          <w:p>
            <w:pPr>
              <w:pStyle w:val="179"/>
            </w:pPr>
            <w:r>
              <w:rPr>
                <w:rFonts w:hint="eastAsia"/>
              </w:rPr>
              <w:t>对账服务</w:t>
            </w:r>
          </w:p>
        </w:tc>
        <w:tc>
          <w:tcPr>
            <w:tcW w:w="567" w:type="dxa"/>
            <w:vMerge w:val="restart"/>
            <w:shd w:val="clear" w:color="auto" w:fill="auto"/>
            <w:vAlign w:val="center"/>
          </w:tcPr>
          <w:p>
            <w:pPr>
              <w:pStyle w:val="179"/>
            </w:pPr>
            <w:r>
              <w:rPr>
                <w:rFonts w:hint="eastAsia"/>
              </w:rPr>
              <w:t>0.1</w:t>
            </w:r>
          </w:p>
        </w:tc>
        <w:tc>
          <w:tcPr>
            <w:tcW w:w="850" w:type="dxa"/>
            <w:shd w:val="clear" w:color="auto" w:fill="auto"/>
            <w:vAlign w:val="center"/>
          </w:tcPr>
          <w:p>
            <w:pPr>
              <w:pStyle w:val="179"/>
            </w:pPr>
            <w:r>
              <w:rPr>
                <w:rFonts w:hint="eastAsia"/>
              </w:rPr>
              <w:t>结算</w:t>
            </w:r>
          </w:p>
        </w:tc>
        <w:tc>
          <w:tcPr>
            <w:tcW w:w="567" w:type="dxa"/>
            <w:shd w:val="clear" w:color="auto" w:fill="auto"/>
            <w:vAlign w:val="center"/>
          </w:tcPr>
          <w:p>
            <w:pPr>
              <w:pStyle w:val="179"/>
            </w:pPr>
            <w:r>
              <w:rPr>
                <w:rFonts w:hint="eastAsia"/>
              </w:rPr>
              <w:t>0.5</w:t>
            </w: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结算方式</w:t>
            </w:r>
          </w:p>
        </w:tc>
        <w:tc>
          <w:tcPr>
            <w:tcW w:w="4678" w:type="dxa"/>
            <w:shd w:val="clear" w:color="auto" w:fill="auto"/>
            <w:vAlign w:val="center"/>
          </w:tcPr>
          <w:p>
            <w:pPr>
              <w:pStyle w:val="179"/>
              <w:ind w:left="63" w:leftChars="30"/>
              <w:jc w:val="left"/>
            </w:pPr>
            <w:r>
              <w:rPr>
                <w:rFonts w:hint="eastAsia"/>
              </w:rPr>
              <w:t>检查服务商提供的结算方式，如果有消耗点二级库或产品进行收费后结算得满分，进行使用后结算得80分，到货后结算得0分</w:t>
            </w:r>
          </w:p>
        </w:tc>
        <w:tc>
          <w:tcPr>
            <w:tcW w:w="555" w:type="dxa"/>
            <w:shd w:val="clear" w:color="auto" w:fill="auto"/>
            <w:vAlign w:val="center"/>
          </w:tcPr>
          <w:p>
            <w:pPr>
              <w:pStyle w:val="179"/>
            </w:pPr>
            <w:r>
              <w:rPr>
                <w:rFonts w:hint="eastAsia"/>
              </w:rPr>
              <w:t xml:space="preserve">1.0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shd w:val="clear" w:color="auto" w:fill="auto"/>
            <w:vAlign w:val="center"/>
          </w:tcPr>
          <w:p>
            <w:pPr>
              <w:pStyle w:val="179"/>
            </w:pPr>
            <w:r>
              <w:rPr>
                <w:rFonts w:hint="eastAsia"/>
              </w:rPr>
              <w:t>对账</w:t>
            </w:r>
          </w:p>
        </w:tc>
        <w:tc>
          <w:tcPr>
            <w:tcW w:w="567" w:type="dxa"/>
            <w:shd w:val="clear" w:color="auto" w:fill="auto"/>
            <w:vAlign w:val="center"/>
          </w:tcPr>
          <w:p>
            <w:pPr>
              <w:pStyle w:val="179"/>
            </w:pPr>
            <w:r>
              <w:rPr>
                <w:rFonts w:hint="eastAsia"/>
              </w:rPr>
              <w:t>0.5</w:t>
            </w: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对账方式</w:t>
            </w:r>
          </w:p>
        </w:tc>
        <w:tc>
          <w:tcPr>
            <w:tcW w:w="4678" w:type="dxa"/>
            <w:shd w:val="clear" w:color="auto" w:fill="auto"/>
            <w:vAlign w:val="center"/>
          </w:tcPr>
          <w:p>
            <w:pPr>
              <w:pStyle w:val="179"/>
              <w:ind w:left="63" w:leftChars="30"/>
              <w:jc w:val="left"/>
            </w:pPr>
            <w:r>
              <w:rPr>
                <w:rFonts w:hint="eastAsia"/>
              </w:rPr>
              <w:t>随意抽取10张送货单（到货后结算）或出库单（使用后结算，收费后结算），检查服务商是否在1周以内完成对账及提供相应的发票，有1个未完成扣10分</w:t>
            </w:r>
          </w:p>
        </w:tc>
        <w:tc>
          <w:tcPr>
            <w:tcW w:w="555" w:type="dxa"/>
            <w:shd w:val="clear" w:color="auto" w:fill="auto"/>
            <w:vAlign w:val="center"/>
          </w:tcPr>
          <w:p>
            <w:pPr>
              <w:pStyle w:val="179"/>
            </w:pPr>
            <w:r>
              <w:rPr>
                <w:rFonts w:hint="eastAsia"/>
              </w:rPr>
              <w:t xml:space="preserve">1.0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shd w:val="clear" w:color="auto" w:fill="auto"/>
            <w:vAlign w:val="center"/>
          </w:tcPr>
          <w:p>
            <w:pPr>
              <w:pStyle w:val="179"/>
            </w:pPr>
            <w:r>
              <w:rPr>
                <w:rFonts w:hint="eastAsia"/>
              </w:rPr>
              <w:t>设施设备管理</w:t>
            </w:r>
          </w:p>
        </w:tc>
        <w:tc>
          <w:tcPr>
            <w:tcW w:w="567" w:type="dxa"/>
            <w:shd w:val="clear" w:color="auto" w:fill="auto"/>
            <w:vAlign w:val="center"/>
          </w:tcPr>
          <w:p>
            <w:pPr>
              <w:pStyle w:val="179"/>
            </w:pPr>
            <w:r>
              <w:rPr>
                <w:rFonts w:hint="eastAsia"/>
              </w:rPr>
              <w:t>0</w:t>
            </w:r>
            <w:r>
              <w:t>.15</w:t>
            </w:r>
          </w:p>
        </w:tc>
        <w:tc>
          <w:tcPr>
            <w:tcW w:w="850" w:type="dxa"/>
            <w:shd w:val="clear" w:color="auto" w:fill="auto"/>
            <w:vAlign w:val="center"/>
          </w:tcPr>
          <w:p>
            <w:pPr>
              <w:pStyle w:val="179"/>
            </w:pPr>
            <w:r>
              <w:rPr>
                <w:rFonts w:hint="eastAsia"/>
              </w:rPr>
              <w:t>智能化设备投入</w:t>
            </w:r>
          </w:p>
        </w:tc>
        <w:tc>
          <w:tcPr>
            <w:tcW w:w="567" w:type="dxa"/>
            <w:shd w:val="clear" w:color="auto" w:fill="auto"/>
            <w:vAlign w:val="center"/>
          </w:tcPr>
          <w:p>
            <w:pPr>
              <w:pStyle w:val="179"/>
            </w:pPr>
            <w:r>
              <w:rPr>
                <w:rFonts w:hint="eastAsia"/>
              </w:rPr>
              <w:t>0</w:t>
            </w:r>
            <w:r>
              <w:t>.6</w:t>
            </w: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投入种类</w:t>
            </w:r>
          </w:p>
        </w:tc>
        <w:tc>
          <w:tcPr>
            <w:tcW w:w="4678" w:type="dxa"/>
            <w:shd w:val="clear" w:color="auto" w:fill="auto"/>
            <w:vAlign w:val="center"/>
          </w:tcPr>
          <w:p>
            <w:pPr>
              <w:pStyle w:val="179"/>
              <w:ind w:left="63" w:leftChars="30"/>
              <w:jc w:val="left"/>
            </w:pPr>
            <w:r>
              <w:rPr>
                <w:rFonts w:hint="eastAsia"/>
              </w:rPr>
              <w:t>检查服务商是否投入智能设备。针对三级医院，投入可读取RFID的智能屋/智慧仓/智能柜加60分、投入智能货架加20分、投入物流机器人加20分、投入自动化仓储设备加20分、投入其他国内领先设备加20分，直至本项目到达满分。针对其他医院，投入可读取RFID的智能设备加80分，投入其他国内领先设备加20分</w:t>
            </w:r>
          </w:p>
        </w:tc>
        <w:tc>
          <w:tcPr>
            <w:tcW w:w="555" w:type="dxa"/>
            <w:shd w:val="clear" w:color="auto" w:fill="auto"/>
            <w:vAlign w:val="center"/>
          </w:tcPr>
          <w:p>
            <w:pPr>
              <w:pStyle w:val="179"/>
            </w:pPr>
            <w:r>
              <w:rPr>
                <w:rFonts w:hint="eastAsia"/>
              </w:rPr>
              <w:t xml:space="preserve">0.3 </w:t>
            </w:r>
          </w:p>
        </w:tc>
      </w:tr>
    </w:tbl>
    <w:p>
      <w:pPr>
        <w:pStyle w:val="57"/>
        <w:spacing w:before="120" w:beforeLines="50" w:after="120" w:afterLines="50"/>
        <w:ind w:firstLine="0" w:firstLineChars="0"/>
        <w:jc w:val="center"/>
        <w:rPr>
          <w:rFonts w:ascii="黑体" w:hAnsi="黑体" w:eastAsia="黑体"/>
        </w:rPr>
      </w:pPr>
    </w:p>
    <w:p>
      <w:pPr>
        <w:pStyle w:val="57"/>
        <w:spacing w:before="120" w:beforeLines="50" w:after="120" w:afterLines="50"/>
        <w:ind w:firstLine="0" w:firstLineChars="0"/>
        <w:jc w:val="center"/>
        <w:rPr>
          <w:rFonts w:ascii="黑体" w:hAnsi="黑体" w:eastAsia="黑体"/>
        </w:rPr>
      </w:pPr>
      <w:r>
        <w:rPr>
          <w:rFonts w:hint="eastAsia" w:ascii="黑体" w:hAnsi="黑体" w:eastAsia="黑体"/>
        </w:rPr>
        <w:t>表1  医院院内物流服务质量评价指标</w:t>
      </w:r>
      <w:r>
        <w:rPr>
          <w:rFonts w:hint="eastAsia" w:hAnsi="宋体"/>
        </w:rPr>
        <w:t>（续）</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83"/>
        <w:gridCol w:w="567"/>
        <w:gridCol w:w="850"/>
        <w:gridCol w:w="567"/>
        <w:gridCol w:w="1134"/>
        <w:gridCol w:w="4678"/>
        <w:gridCol w:w="5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0" w:type="dxa"/>
            <w:gridSpan w:val="2"/>
            <w:tcBorders>
              <w:top w:val="single" w:color="auto" w:sz="8" w:space="0"/>
              <w:bottom w:val="single" w:color="auto" w:sz="8" w:space="0"/>
            </w:tcBorders>
            <w:shd w:val="clear" w:color="auto" w:fill="auto"/>
            <w:vAlign w:val="center"/>
          </w:tcPr>
          <w:p>
            <w:pPr>
              <w:pStyle w:val="179"/>
            </w:pPr>
            <w:r>
              <w:rPr>
                <w:rFonts w:hint="eastAsia"/>
              </w:rPr>
              <w:t>一级指标</w:t>
            </w:r>
          </w:p>
        </w:tc>
        <w:tc>
          <w:tcPr>
            <w:tcW w:w="1417" w:type="dxa"/>
            <w:gridSpan w:val="2"/>
            <w:tcBorders>
              <w:top w:val="single" w:color="auto" w:sz="8" w:space="0"/>
              <w:bottom w:val="single" w:color="auto" w:sz="8" w:space="0"/>
            </w:tcBorders>
            <w:shd w:val="clear" w:color="auto" w:fill="auto"/>
            <w:vAlign w:val="center"/>
          </w:tcPr>
          <w:p>
            <w:pPr>
              <w:pStyle w:val="179"/>
            </w:pPr>
            <w:r>
              <w:rPr>
                <w:rFonts w:hint="eastAsia"/>
              </w:rPr>
              <w:t>二级指标</w:t>
            </w:r>
          </w:p>
        </w:tc>
        <w:tc>
          <w:tcPr>
            <w:tcW w:w="6367" w:type="dxa"/>
            <w:gridSpan w:val="3"/>
            <w:tcBorders>
              <w:top w:val="single" w:color="auto" w:sz="8" w:space="0"/>
              <w:bottom w:val="single" w:color="auto" w:sz="8" w:space="0"/>
            </w:tcBorders>
            <w:shd w:val="clear" w:color="auto" w:fill="auto"/>
            <w:vAlign w:val="center"/>
          </w:tcPr>
          <w:p>
            <w:pPr>
              <w:pStyle w:val="179"/>
            </w:pPr>
            <w:r>
              <w:rPr>
                <w:rFonts w:hint="eastAsia"/>
              </w:rPr>
              <w:t>三级指标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983" w:type="dxa"/>
            <w:shd w:val="clear" w:color="auto" w:fill="auto"/>
            <w:vAlign w:val="center"/>
          </w:tcPr>
          <w:p>
            <w:pPr>
              <w:pStyle w:val="179"/>
            </w:pPr>
            <w:r>
              <w:rPr>
                <w:rFonts w:hint="eastAsia"/>
              </w:rPr>
              <w:t>服务类型(S1)</w:t>
            </w:r>
          </w:p>
        </w:tc>
        <w:tc>
          <w:tcPr>
            <w:tcW w:w="567" w:type="dxa"/>
            <w:shd w:val="clear" w:color="auto" w:fill="auto"/>
            <w:vAlign w:val="center"/>
          </w:tcPr>
          <w:p>
            <w:pPr>
              <w:pStyle w:val="179"/>
            </w:pPr>
            <w:r>
              <w:rPr>
                <w:rFonts w:hint="eastAsia"/>
              </w:rPr>
              <w:t>权值</w:t>
            </w:r>
          </w:p>
        </w:tc>
        <w:tc>
          <w:tcPr>
            <w:tcW w:w="850" w:type="dxa"/>
            <w:shd w:val="clear" w:color="auto" w:fill="auto"/>
            <w:vAlign w:val="center"/>
          </w:tcPr>
          <w:p>
            <w:pPr>
              <w:pStyle w:val="179"/>
            </w:pPr>
            <w:r>
              <w:rPr>
                <w:rFonts w:hint="eastAsia"/>
              </w:rPr>
              <w:t>服务内容(S2)</w:t>
            </w:r>
          </w:p>
        </w:tc>
        <w:tc>
          <w:tcPr>
            <w:tcW w:w="567" w:type="dxa"/>
            <w:shd w:val="clear" w:color="auto" w:fill="auto"/>
            <w:vAlign w:val="center"/>
          </w:tcPr>
          <w:p>
            <w:pPr>
              <w:pStyle w:val="179"/>
            </w:pPr>
            <w:r>
              <w:rPr>
                <w:rFonts w:hint="eastAsia"/>
              </w:rPr>
              <w:t>权值</w:t>
            </w:r>
          </w:p>
        </w:tc>
        <w:tc>
          <w:tcPr>
            <w:tcW w:w="1134" w:type="dxa"/>
            <w:shd w:val="clear" w:color="auto" w:fill="auto"/>
            <w:vAlign w:val="center"/>
          </w:tcPr>
          <w:p>
            <w:pPr>
              <w:pStyle w:val="179"/>
            </w:pPr>
            <w:r>
              <w:rPr>
                <w:rFonts w:hint="eastAsia"/>
              </w:rPr>
              <w:t>检查</w:t>
            </w:r>
          </w:p>
          <w:p>
            <w:pPr>
              <w:widowControl/>
              <w:jc w:val="center"/>
              <w:textAlignment w:val="center"/>
              <w:rPr>
                <w:rFonts w:ascii="宋体" w:hAnsi="Times New Roman"/>
                <w:kern w:val="0"/>
                <w:sz w:val="18"/>
                <w:szCs w:val="20"/>
              </w:rPr>
            </w:pPr>
            <w:r>
              <w:rPr>
                <w:rFonts w:hint="eastAsia"/>
              </w:rPr>
              <w:t>内容(S3)</w:t>
            </w:r>
          </w:p>
        </w:tc>
        <w:tc>
          <w:tcPr>
            <w:tcW w:w="4678" w:type="dxa"/>
            <w:shd w:val="clear" w:color="auto" w:fill="auto"/>
            <w:vAlign w:val="center"/>
          </w:tcPr>
          <w:p>
            <w:pPr>
              <w:pStyle w:val="179"/>
            </w:pPr>
            <w:r>
              <w:rPr>
                <w:rFonts w:hint="eastAsia"/>
              </w:rPr>
              <w:t>具体检查方式</w:t>
            </w:r>
          </w:p>
        </w:tc>
        <w:tc>
          <w:tcPr>
            <w:tcW w:w="555" w:type="dxa"/>
            <w:shd w:val="clear" w:color="auto" w:fill="auto"/>
            <w:vAlign w:val="center"/>
          </w:tcPr>
          <w:p>
            <w:pPr>
              <w:pStyle w:val="179"/>
            </w:pPr>
            <w:r>
              <w:rPr>
                <w:rFonts w:hint="eastAsia"/>
              </w:rPr>
              <w:t>权值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restart"/>
            <w:shd w:val="clear" w:color="auto" w:fill="auto"/>
            <w:vAlign w:val="center"/>
          </w:tcPr>
          <w:p>
            <w:pPr>
              <w:pStyle w:val="179"/>
            </w:pPr>
            <w:r>
              <w:rPr>
                <w:rFonts w:hint="eastAsia"/>
              </w:rPr>
              <w:t>设施设备管理</w:t>
            </w:r>
          </w:p>
        </w:tc>
        <w:tc>
          <w:tcPr>
            <w:tcW w:w="567" w:type="dxa"/>
            <w:vMerge w:val="restart"/>
            <w:shd w:val="clear" w:color="auto" w:fill="auto"/>
            <w:vAlign w:val="center"/>
          </w:tcPr>
          <w:p>
            <w:pPr>
              <w:pStyle w:val="179"/>
            </w:pPr>
            <w:r>
              <w:rPr>
                <w:rFonts w:hint="eastAsia"/>
              </w:rPr>
              <w:t>0</w:t>
            </w:r>
            <w:r>
              <w:t>.15</w:t>
            </w:r>
          </w:p>
        </w:tc>
        <w:tc>
          <w:tcPr>
            <w:tcW w:w="850" w:type="dxa"/>
            <w:vMerge w:val="restart"/>
            <w:shd w:val="clear" w:color="auto" w:fill="auto"/>
            <w:vAlign w:val="center"/>
          </w:tcPr>
          <w:p>
            <w:pPr>
              <w:pStyle w:val="179"/>
            </w:pPr>
            <w:r>
              <w:rPr>
                <w:rFonts w:hint="eastAsia"/>
              </w:rPr>
              <w:t>智能化设备投入</w:t>
            </w:r>
          </w:p>
        </w:tc>
        <w:tc>
          <w:tcPr>
            <w:tcW w:w="567" w:type="dxa"/>
            <w:vMerge w:val="restart"/>
            <w:shd w:val="clear" w:color="auto" w:fill="auto"/>
            <w:vAlign w:val="center"/>
          </w:tcPr>
          <w:p>
            <w:pPr>
              <w:pStyle w:val="179"/>
            </w:pPr>
            <w:r>
              <w:rPr>
                <w:rFonts w:hint="eastAsia"/>
              </w:rPr>
              <w:t>0</w:t>
            </w:r>
            <w:r>
              <w:t>.6</w:t>
            </w: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先进性</w:t>
            </w:r>
          </w:p>
        </w:tc>
        <w:tc>
          <w:tcPr>
            <w:tcW w:w="4678" w:type="dxa"/>
            <w:shd w:val="clear" w:color="auto" w:fill="auto"/>
            <w:vAlign w:val="center"/>
          </w:tcPr>
          <w:p>
            <w:pPr>
              <w:pStyle w:val="179"/>
              <w:tabs>
                <w:tab w:val="left" w:pos="105"/>
                <w:tab w:val="left" w:pos="420"/>
              </w:tabs>
              <w:ind w:left="63" w:leftChars="30"/>
              <w:jc w:val="left"/>
            </w:pPr>
            <w:r>
              <w:rPr>
                <w:rFonts w:hint="eastAsia"/>
              </w:rPr>
              <w:t>检查智能设备的先进程度，陈旧过时得50分、有一定创新得80分、国内领先得满分。然而国内领先标准：智能柜、智能屋、智慧仓具有24小时无人值守、货品批量读取、多种方式取用（密码、指纹、脸部识别、工作牌识别）、库存自动预警、模糊查询指引、异人异柜归还、日清盘点等</w:t>
            </w:r>
          </w:p>
        </w:tc>
        <w:tc>
          <w:tcPr>
            <w:tcW w:w="555" w:type="dxa"/>
            <w:shd w:val="clear" w:color="auto" w:fill="auto"/>
            <w:vAlign w:val="center"/>
          </w:tcPr>
          <w:p>
            <w:pPr>
              <w:pStyle w:val="179"/>
            </w:pPr>
            <w:r>
              <w:rPr>
                <w:rFonts w:hint="eastAsia"/>
              </w:rPr>
              <w:t xml:space="preserve">0.2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识别准确率</w:t>
            </w:r>
          </w:p>
        </w:tc>
        <w:tc>
          <w:tcPr>
            <w:tcW w:w="4678" w:type="dxa"/>
            <w:shd w:val="clear" w:color="auto" w:fill="auto"/>
            <w:vAlign w:val="center"/>
          </w:tcPr>
          <w:p>
            <w:pPr>
              <w:pStyle w:val="179"/>
              <w:tabs>
                <w:tab w:val="left" w:pos="105"/>
                <w:tab w:val="left" w:pos="420"/>
              </w:tabs>
              <w:ind w:left="63" w:leftChars="30"/>
              <w:jc w:val="left"/>
            </w:pPr>
            <w:r>
              <w:rPr>
                <w:rFonts w:hint="eastAsia"/>
              </w:rPr>
              <w:t>随意抽取使用智能设备管理的10个产品，检查智能设备对于产品的识别准确性，有1个未识别出或识别错误的产品扣20分，直至本项目分数扣完</w:t>
            </w:r>
          </w:p>
        </w:tc>
        <w:tc>
          <w:tcPr>
            <w:tcW w:w="555" w:type="dxa"/>
            <w:shd w:val="clear" w:color="auto" w:fill="auto"/>
            <w:vAlign w:val="center"/>
          </w:tcPr>
          <w:p>
            <w:pPr>
              <w:pStyle w:val="179"/>
            </w:pPr>
            <w:r>
              <w:rPr>
                <w:rFonts w:hint="eastAsia"/>
              </w:rPr>
              <w:t xml:space="preserve">0.4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维护保养</w:t>
            </w:r>
          </w:p>
        </w:tc>
        <w:tc>
          <w:tcPr>
            <w:tcW w:w="4678" w:type="dxa"/>
            <w:shd w:val="clear" w:color="auto" w:fill="auto"/>
            <w:vAlign w:val="center"/>
          </w:tcPr>
          <w:p>
            <w:pPr>
              <w:pStyle w:val="179"/>
              <w:tabs>
                <w:tab w:val="left" w:pos="105"/>
                <w:tab w:val="left" w:pos="420"/>
              </w:tabs>
              <w:ind w:left="63" w:leftChars="30"/>
              <w:jc w:val="left"/>
            </w:pPr>
            <w:r>
              <w:rPr>
                <w:rFonts w:hint="eastAsia"/>
              </w:rPr>
              <w:t>检查服务商是否有设施设备的维护保养计划及具体记录，是则满分，否则0分</w:t>
            </w:r>
          </w:p>
        </w:tc>
        <w:tc>
          <w:tcPr>
            <w:tcW w:w="555" w:type="dxa"/>
            <w:shd w:val="clear" w:color="auto" w:fill="auto"/>
            <w:vAlign w:val="center"/>
          </w:tcPr>
          <w:p>
            <w:pPr>
              <w:pStyle w:val="179"/>
            </w:pPr>
            <w:r>
              <w:rPr>
                <w:rFonts w:hint="eastAsia"/>
              </w:rPr>
              <w:t xml:space="preserve">0.1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restart"/>
            <w:shd w:val="clear" w:color="auto" w:fill="auto"/>
            <w:vAlign w:val="center"/>
          </w:tcPr>
          <w:p>
            <w:pPr>
              <w:pStyle w:val="179"/>
            </w:pPr>
            <w:r>
              <w:rPr>
                <w:rFonts w:hint="eastAsia"/>
              </w:rPr>
              <w:t>系统对接</w:t>
            </w:r>
          </w:p>
        </w:tc>
        <w:tc>
          <w:tcPr>
            <w:tcW w:w="567" w:type="dxa"/>
            <w:vMerge w:val="restart"/>
            <w:shd w:val="clear" w:color="auto" w:fill="auto"/>
            <w:vAlign w:val="center"/>
          </w:tcPr>
          <w:p>
            <w:pPr>
              <w:pStyle w:val="179"/>
            </w:pPr>
            <w:r>
              <w:rPr>
                <w:rFonts w:hint="eastAsia"/>
              </w:rPr>
              <w:t>0</w:t>
            </w:r>
            <w:r>
              <w:t>.4</w:t>
            </w: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系统传送</w:t>
            </w:r>
          </w:p>
        </w:tc>
        <w:tc>
          <w:tcPr>
            <w:tcW w:w="4678" w:type="dxa"/>
            <w:shd w:val="clear" w:color="auto" w:fill="auto"/>
            <w:vAlign w:val="center"/>
          </w:tcPr>
          <w:p>
            <w:pPr>
              <w:pStyle w:val="179"/>
              <w:tabs>
                <w:tab w:val="left" w:pos="105"/>
                <w:tab w:val="left" w:pos="420"/>
              </w:tabs>
              <w:ind w:left="63" w:leftChars="30"/>
              <w:jc w:val="left"/>
            </w:pPr>
            <w:r>
              <w:rPr>
                <w:rFonts w:hint="eastAsia"/>
              </w:rPr>
              <w:t>检查医院系统和服务商系统之间的数据传送时间，10分钟以内得满分，每延长10分钟减20分，直至本项目分数扣完</w:t>
            </w:r>
          </w:p>
        </w:tc>
        <w:tc>
          <w:tcPr>
            <w:tcW w:w="555" w:type="dxa"/>
            <w:shd w:val="clear" w:color="auto" w:fill="auto"/>
            <w:vAlign w:val="center"/>
          </w:tcPr>
          <w:p>
            <w:pPr>
              <w:pStyle w:val="179"/>
            </w:pPr>
            <w:r>
              <w:rPr>
                <w:rFonts w:hint="eastAsia"/>
              </w:rPr>
              <w:t xml:space="preserve">0.3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系统资质</w:t>
            </w:r>
          </w:p>
        </w:tc>
        <w:tc>
          <w:tcPr>
            <w:tcW w:w="4678" w:type="dxa"/>
            <w:shd w:val="clear" w:color="auto" w:fill="auto"/>
            <w:vAlign w:val="center"/>
          </w:tcPr>
          <w:p>
            <w:pPr>
              <w:pStyle w:val="179"/>
              <w:tabs>
                <w:tab w:val="left" w:pos="105"/>
                <w:tab w:val="left" w:pos="420"/>
              </w:tabs>
              <w:ind w:left="63" w:leftChars="30"/>
              <w:jc w:val="left"/>
            </w:pPr>
            <w:r>
              <w:rPr>
                <w:rFonts w:hint="eastAsia"/>
              </w:rPr>
              <w:t>检查与医院对接的系统或系统公司是否获取关于网络安全性等资质，且确保信息传输和数据共享时的网络安全，是则满分，否则0分</w:t>
            </w:r>
          </w:p>
        </w:tc>
        <w:tc>
          <w:tcPr>
            <w:tcW w:w="555" w:type="dxa"/>
            <w:shd w:val="clear" w:color="auto" w:fill="auto"/>
            <w:vAlign w:val="center"/>
          </w:tcPr>
          <w:p>
            <w:pPr>
              <w:pStyle w:val="179"/>
            </w:pPr>
            <w:r>
              <w:rPr>
                <w:rFonts w:hint="eastAsia"/>
              </w:rPr>
              <w:t xml:space="preserve">0.3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看板功能</w:t>
            </w:r>
          </w:p>
        </w:tc>
        <w:tc>
          <w:tcPr>
            <w:tcW w:w="4678" w:type="dxa"/>
            <w:shd w:val="clear" w:color="auto" w:fill="auto"/>
            <w:vAlign w:val="center"/>
          </w:tcPr>
          <w:p>
            <w:pPr>
              <w:pStyle w:val="179"/>
              <w:tabs>
                <w:tab w:val="left" w:pos="105"/>
                <w:tab w:val="left" w:pos="420"/>
              </w:tabs>
              <w:ind w:left="63" w:leftChars="30"/>
              <w:jc w:val="left"/>
            </w:pPr>
            <w:r>
              <w:rPr>
                <w:rFonts w:hint="eastAsia"/>
              </w:rPr>
              <w:t>检查服务商系统是否具有看板功能，并已对医院实施可视化服务，看板内容有一项加20分，直至本项目到达满分</w:t>
            </w:r>
          </w:p>
        </w:tc>
        <w:tc>
          <w:tcPr>
            <w:tcW w:w="555" w:type="dxa"/>
            <w:shd w:val="clear" w:color="auto" w:fill="auto"/>
            <w:vAlign w:val="center"/>
          </w:tcPr>
          <w:p>
            <w:pPr>
              <w:pStyle w:val="179"/>
            </w:pPr>
            <w:r>
              <w:rPr>
                <w:rFonts w:hint="eastAsia"/>
              </w:rPr>
              <w:t xml:space="preserve">0.4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restart"/>
            <w:shd w:val="clear" w:color="auto" w:fill="auto"/>
            <w:vAlign w:val="center"/>
          </w:tcPr>
          <w:p>
            <w:pPr>
              <w:pStyle w:val="179"/>
            </w:pPr>
            <w:r>
              <w:rPr>
                <w:rFonts w:hint="eastAsia"/>
              </w:rPr>
              <w:t>数据管理</w:t>
            </w:r>
          </w:p>
        </w:tc>
        <w:tc>
          <w:tcPr>
            <w:tcW w:w="567" w:type="dxa"/>
            <w:vMerge w:val="restart"/>
            <w:shd w:val="clear" w:color="auto" w:fill="auto"/>
            <w:vAlign w:val="center"/>
          </w:tcPr>
          <w:p>
            <w:pPr>
              <w:pStyle w:val="179"/>
            </w:pPr>
            <w:r>
              <w:rPr>
                <w:rFonts w:hint="eastAsia"/>
              </w:rPr>
              <w:t>0</w:t>
            </w:r>
            <w:r>
              <w:t>.05</w:t>
            </w:r>
          </w:p>
        </w:tc>
        <w:tc>
          <w:tcPr>
            <w:tcW w:w="850" w:type="dxa"/>
            <w:vMerge w:val="restart"/>
            <w:shd w:val="clear" w:color="auto" w:fill="auto"/>
            <w:vAlign w:val="center"/>
          </w:tcPr>
          <w:p>
            <w:pPr>
              <w:pStyle w:val="179"/>
            </w:pPr>
            <w:r>
              <w:rPr>
                <w:rFonts w:hint="eastAsia"/>
              </w:rPr>
              <w:t>数据维护</w:t>
            </w:r>
          </w:p>
        </w:tc>
        <w:tc>
          <w:tcPr>
            <w:tcW w:w="567" w:type="dxa"/>
            <w:vMerge w:val="restart"/>
            <w:shd w:val="clear" w:color="auto" w:fill="auto"/>
            <w:vAlign w:val="center"/>
          </w:tcPr>
          <w:p>
            <w:pPr>
              <w:pStyle w:val="179"/>
            </w:pPr>
            <w:r>
              <w:rPr>
                <w:rFonts w:hint="eastAsia"/>
              </w:rPr>
              <w:t>0</w:t>
            </w:r>
            <w:r>
              <w:t>.6</w:t>
            </w: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授权</w:t>
            </w:r>
          </w:p>
        </w:tc>
        <w:tc>
          <w:tcPr>
            <w:tcW w:w="4678" w:type="dxa"/>
            <w:shd w:val="clear" w:color="auto" w:fill="auto"/>
            <w:vAlign w:val="center"/>
          </w:tcPr>
          <w:p>
            <w:pPr>
              <w:pStyle w:val="179"/>
              <w:tabs>
                <w:tab w:val="left" w:pos="105"/>
                <w:tab w:val="left" w:pos="420"/>
              </w:tabs>
              <w:ind w:left="63" w:leftChars="30"/>
              <w:jc w:val="left"/>
            </w:pPr>
            <w:r>
              <w:rPr>
                <w:rFonts w:hint="eastAsia"/>
              </w:rPr>
              <w:t>检查SPD系统各类数据的录入、保存、修改等操作是否符合授权范围、操作规程和管理制度的要求（比如在中心库收货验收时需分开收货员和验收员等），是则满分，否则0分</w:t>
            </w:r>
          </w:p>
        </w:tc>
        <w:tc>
          <w:tcPr>
            <w:tcW w:w="555" w:type="dxa"/>
            <w:shd w:val="clear" w:color="auto" w:fill="auto"/>
            <w:vAlign w:val="center"/>
          </w:tcPr>
          <w:p>
            <w:pPr>
              <w:pStyle w:val="179"/>
            </w:pPr>
            <w:r>
              <w:rPr>
                <w:rFonts w:hint="eastAsia"/>
              </w:rPr>
              <w:t xml:space="preserve">0.3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准确性</w:t>
            </w:r>
          </w:p>
        </w:tc>
        <w:tc>
          <w:tcPr>
            <w:tcW w:w="4678" w:type="dxa"/>
            <w:shd w:val="clear" w:color="auto" w:fill="auto"/>
            <w:vAlign w:val="center"/>
          </w:tcPr>
          <w:p>
            <w:pPr>
              <w:pStyle w:val="179"/>
              <w:tabs>
                <w:tab w:val="left" w:pos="105"/>
                <w:tab w:val="left" w:pos="420"/>
              </w:tabs>
              <w:ind w:left="63" w:leftChars="30"/>
              <w:jc w:val="left"/>
            </w:pPr>
            <w:r>
              <w:rPr>
                <w:rFonts w:hint="eastAsia"/>
              </w:rPr>
              <w:t>随意抽取10个产品，检查SPD系统内维护的数据与产品注册证的信息是否完全一致，有1个不完全一致扣20分，直至本项目分数扣完</w:t>
            </w:r>
          </w:p>
        </w:tc>
        <w:tc>
          <w:tcPr>
            <w:tcW w:w="555" w:type="dxa"/>
            <w:shd w:val="clear" w:color="auto" w:fill="auto"/>
            <w:vAlign w:val="center"/>
          </w:tcPr>
          <w:p>
            <w:pPr>
              <w:pStyle w:val="179"/>
            </w:pPr>
            <w:r>
              <w:rPr>
                <w:rFonts w:hint="eastAsia"/>
              </w:rPr>
              <w:t xml:space="preserve">0.7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83" w:type="dxa"/>
            <w:vMerge w:val="continue"/>
            <w:shd w:val="clear" w:color="auto" w:fill="auto"/>
            <w:vAlign w:val="center"/>
          </w:tcPr>
          <w:p>
            <w:pPr>
              <w:pStyle w:val="179"/>
            </w:pPr>
          </w:p>
        </w:tc>
        <w:tc>
          <w:tcPr>
            <w:tcW w:w="567" w:type="dxa"/>
            <w:vMerge w:val="continue"/>
            <w:shd w:val="clear" w:color="auto" w:fill="auto"/>
            <w:vAlign w:val="center"/>
          </w:tcPr>
          <w:p>
            <w:pPr>
              <w:pStyle w:val="179"/>
            </w:pPr>
          </w:p>
        </w:tc>
        <w:tc>
          <w:tcPr>
            <w:tcW w:w="850" w:type="dxa"/>
            <w:shd w:val="clear" w:color="auto" w:fill="auto"/>
            <w:vAlign w:val="center"/>
          </w:tcPr>
          <w:p>
            <w:pPr>
              <w:pStyle w:val="179"/>
            </w:pPr>
            <w:r>
              <w:rPr>
                <w:rFonts w:hint="eastAsia"/>
              </w:rPr>
              <w:t>数据储存</w:t>
            </w:r>
          </w:p>
        </w:tc>
        <w:tc>
          <w:tcPr>
            <w:tcW w:w="567" w:type="dxa"/>
            <w:shd w:val="clear" w:color="auto" w:fill="auto"/>
            <w:vAlign w:val="center"/>
          </w:tcPr>
          <w:p>
            <w:pPr>
              <w:pStyle w:val="179"/>
            </w:pPr>
            <w:r>
              <w:rPr>
                <w:rFonts w:hint="eastAsia"/>
              </w:rPr>
              <w:t>0</w:t>
            </w:r>
            <w:r>
              <w:t>.4</w:t>
            </w:r>
          </w:p>
        </w:tc>
        <w:tc>
          <w:tcPr>
            <w:tcW w:w="1134" w:type="dxa"/>
            <w:shd w:val="clear" w:color="auto" w:fill="auto"/>
            <w:vAlign w:val="center"/>
          </w:tcPr>
          <w:p>
            <w:pPr>
              <w:widowControl/>
              <w:jc w:val="center"/>
              <w:textAlignment w:val="center"/>
              <w:rPr>
                <w:rFonts w:ascii="宋体" w:hAnsi="Times New Roman"/>
                <w:kern w:val="0"/>
                <w:sz w:val="18"/>
                <w:szCs w:val="20"/>
              </w:rPr>
            </w:pPr>
            <w:r>
              <w:rPr>
                <w:rFonts w:hint="eastAsia" w:ascii="宋体" w:hAnsi="Times New Roman"/>
                <w:kern w:val="0"/>
                <w:sz w:val="18"/>
                <w:szCs w:val="20"/>
              </w:rPr>
              <w:t>数据存储</w:t>
            </w:r>
          </w:p>
        </w:tc>
        <w:tc>
          <w:tcPr>
            <w:tcW w:w="4678" w:type="dxa"/>
            <w:shd w:val="clear" w:color="auto" w:fill="auto"/>
            <w:vAlign w:val="center"/>
          </w:tcPr>
          <w:p>
            <w:pPr>
              <w:pStyle w:val="179"/>
              <w:tabs>
                <w:tab w:val="left" w:pos="105"/>
                <w:tab w:val="left" w:pos="420"/>
              </w:tabs>
              <w:ind w:left="63" w:leftChars="30"/>
              <w:jc w:val="left"/>
            </w:pPr>
            <w:r>
              <w:rPr>
                <w:rFonts w:hint="eastAsia"/>
              </w:rPr>
              <w:t>检查SPD系统中数据管理和使用是否符合GB/T 37973-2019的要求，并应采用安全、可靠的方式储存并按日异地备份，备份数据永久存放在安全场所永久存放，是则满分，否则0分</w:t>
            </w:r>
          </w:p>
        </w:tc>
        <w:tc>
          <w:tcPr>
            <w:tcW w:w="555" w:type="dxa"/>
            <w:shd w:val="clear" w:color="auto" w:fill="auto"/>
            <w:vAlign w:val="center"/>
          </w:tcPr>
          <w:p>
            <w:pPr>
              <w:pStyle w:val="179"/>
            </w:pPr>
            <w:r>
              <w:rPr>
                <w:rFonts w:hint="eastAsia"/>
              </w:rPr>
              <w:t xml:space="preserve">1.0 </w:t>
            </w:r>
          </w:p>
        </w:tc>
      </w:tr>
    </w:tbl>
    <w:p>
      <w:pPr>
        <w:pStyle w:val="57"/>
        <w:ind w:firstLine="420"/>
      </w:pPr>
    </w:p>
    <w:p>
      <w:pPr>
        <w:pStyle w:val="57"/>
        <w:ind w:firstLine="420"/>
      </w:pPr>
    </w:p>
    <w:p>
      <w:pPr>
        <w:pStyle w:val="57"/>
        <w:ind w:firstLine="420"/>
        <w:sectPr>
          <w:pgSz w:w="11906" w:h="16838"/>
          <w:pgMar w:top="1928" w:right="1134" w:bottom="1134" w:left="1134" w:header="1418" w:footer="1134" w:gutter="284"/>
          <w:pgNumType w:start="1"/>
          <w:cols w:space="425" w:num="1"/>
          <w:formProt w:val="0"/>
          <w:docGrid w:linePitch="312" w:charSpace="0"/>
        </w:sectPr>
      </w:pPr>
    </w:p>
    <w:bookmarkEnd w:id="19"/>
    <w:p>
      <w:pPr>
        <w:pStyle w:val="199"/>
        <w:rPr>
          <w:vanish w:val="0"/>
        </w:rPr>
      </w:pPr>
      <w:bookmarkStart w:id="41" w:name="BookMark5"/>
    </w:p>
    <w:p>
      <w:pPr>
        <w:pStyle w:val="200"/>
        <w:rPr>
          <w:vanish w:val="0"/>
        </w:rPr>
      </w:pPr>
    </w:p>
    <w:p>
      <w:pPr>
        <w:pStyle w:val="77"/>
        <w:spacing w:before="120" w:beforeLines="50" w:after="120"/>
      </w:pPr>
    </w:p>
    <w:p>
      <w:pPr>
        <w:pStyle w:val="77"/>
        <w:numPr>
          <w:ilvl w:val="0"/>
          <w:numId w:val="0"/>
        </w:numPr>
        <w:spacing w:before="120" w:beforeLines="50" w:after="120"/>
      </w:pPr>
      <w:r>
        <w:rPr>
          <w:rFonts w:hint="eastAsia"/>
        </w:rPr>
        <w:t>（资料性）</w:t>
      </w:r>
    </w:p>
    <w:p>
      <w:pPr>
        <w:pStyle w:val="77"/>
        <w:numPr>
          <w:ilvl w:val="0"/>
          <w:numId w:val="0"/>
        </w:numPr>
        <w:spacing w:before="120" w:beforeLines="50" w:after="120"/>
      </w:pPr>
      <w:r>
        <w:rPr>
          <w:rFonts w:hint="eastAsia"/>
        </w:rPr>
        <w:t>医院院内物流服务质量分数计算公式</w:t>
      </w:r>
    </w:p>
    <w:p>
      <w:pPr>
        <w:pStyle w:val="79"/>
        <w:spacing w:before="120" w:after="120"/>
      </w:pPr>
      <w:r>
        <w:rPr>
          <w:rFonts w:hint="eastAsia"/>
        </w:rPr>
        <w:t>三级指标质量得分(</w:t>
      </w:r>
      <m:oMath>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rPr>
              <m:t>3</m:t>
            </m:r>
            <m:ctrlPr>
              <w:rPr>
                <w:rFonts w:ascii="Cambria Math" w:hAnsi="Cambria Math"/>
                <w:i/>
              </w:rPr>
            </m:ctrlPr>
          </m:sub>
        </m:sSub>
      </m:oMath>
      <w:r>
        <w:rPr>
          <w:rFonts w:hint="eastAsia"/>
        </w:rPr>
        <w:t>)计算方式</w:t>
      </w:r>
    </w:p>
    <w:p>
      <w:pPr>
        <w:pStyle w:val="57"/>
        <w:ind w:firstLine="420"/>
      </w:pPr>
      <w:r>
        <w:rPr>
          <w:rFonts w:hint="eastAsia"/>
        </w:rPr>
        <w:t>各类三级指标的质量得分(</w:t>
      </w:r>
      <m:oMath>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rPr>
              <m:t>3</m:t>
            </m:r>
            <m:ctrlPr>
              <w:rPr>
                <w:rFonts w:ascii="Cambria Math" w:hAnsi="Cambria Math"/>
                <w:i/>
              </w:rPr>
            </m:ctrlPr>
          </m:sub>
        </m:sSub>
      </m:oMath>
      <w:r>
        <w:rPr>
          <w:rFonts w:hint="eastAsia"/>
        </w:rPr>
        <w:t>)根据表1的具体检查方式直接给出得分。</w:t>
      </w:r>
    </w:p>
    <w:p>
      <w:pPr>
        <w:pStyle w:val="79"/>
        <w:spacing w:before="120" w:after="120"/>
      </w:pPr>
      <w:r>
        <w:rPr>
          <w:rFonts w:hint="eastAsia"/>
        </w:rPr>
        <w:t>二级指标质量得分(</w:t>
      </w:r>
      <m:oMath>
        <m:sSub>
          <m:sSubPr>
            <m:ctrlPr>
              <w:rPr>
                <w:rFonts w:hint="eastAsia" w:ascii="Cambria Math" w:hAnsi="Cambria Math"/>
              </w:rPr>
            </m:ctrlPr>
          </m:sSubPr>
          <m:e>
            <m:r>
              <m:rPr>
                <m:sty m:val="p"/>
              </m:rPr>
              <w:rPr>
                <w:rFonts w:hint="eastAsia" w:ascii="Cambria Math" w:hAnsi="Cambria Math"/>
              </w:rPr>
              <m:t>S</m:t>
            </m:r>
            <m:ctrlPr>
              <w:rPr>
                <w:rFonts w:hint="eastAsia" w:ascii="Cambria Math" w:hAnsi="Cambria Math"/>
              </w:rPr>
            </m:ctrlPr>
          </m:e>
          <m:sub>
            <m:r>
              <m:rPr>
                <m:sty m:val="p"/>
              </m:rPr>
              <w:rPr>
                <w:rFonts w:hint="eastAsia" w:ascii="Cambria Math" w:hAnsi="Cambria Math"/>
              </w:rPr>
              <m:t>2</m:t>
            </m:r>
            <m:ctrlPr>
              <w:rPr>
                <w:rFonts w:hint="eastAsia" w:ascii="Cambria Math" w:hAnsi="Cambria Math"/>
              </w:rPr>
            </m:ctrlPr>
          </m:sub>
        </m:sSub>
      </m:oMath>
      <w:r>
        <w:rPr>
          <w:rFonts w:hint="eastAsia"/>
        </w:rPr>
        <w:t>)计算方式</w:t>
      </w:r>
    </w:p>
    <w:p>
      <w:pPr>
        <w:pStyle w:val="57"/>
        <w:ind w:firstLine="420"/>
      </w:pPr>
      <w:r>
        <w:rPr>
          <w:rFonts w:hint="eastAsia"/>
        </w:rPr>
        <w:t>各类一级指标的质量得分(</w:t>
      </w:r>
      <m:oMath>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eastAsia="MS Mincho"/>
              </w:rPr>
              <m:t>2</m:t>
            </m:r>
            <m:ctrlPr>
              <w:rPr>
                <w:rFonts w:ascii="Cambria Math" w:hAnsi="Cambria Math"/>
                <w:i/>
              </w:rPr>
            </m:ctrlPr>
          </m:sub>
        </m:sSub>
      </m:oMath>
      <w:r>
        <w:rPr>
          <w:rFonts w:hint="eastAsia"/>
        </w:rPr>
        <w:t>)以百分制表征，采用加权平均法计算，见公式(</w:t>
      </w:r>
      <w:r>
        <w:t>1</w:t>
      </w:r>
      <w:r>
        <w:rPr>
          <w:rFonts w:hint="eastAsia"/>
        </w:rPr>
        <w:t>)</w:t>
      </w:r>
    </w:p>
    <w:p>
      <w:pPr>
        <w:pStyle w:val="114"/>
      </w:pPr>
      <w:r>
        <w:tab/>
      </w:r>
      <m:oMath>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eastAsia="MS Mincho"/>
              </w:rPr>
              <m:t>2</m:t>
            </m:r>
            <m:ctrlPr>
              <w:rPr>
                <w:rFonts w:ascii="Cambria Math" w:hAnsi="Cambria Math"/>
                <w:i/>
              </w:rPr>
            </m:ctrlPr>
          </m:sub>
        </m:sSub>
        <m:r>
          <m:rPr>
            <m:nor/>
          </m:rPr>
          <w:rPr>
            <w:rStyle w:val="187"/>
            <w:rFonts w:ascii="Cambria Math" w:hAnsi="Cambria Math" w:eastAsia="Cambria Math"/>
            <w:i/>
          </w:rPr>
          <m:t>=</m:t>
        </m:r>
        <m:nary>
          <m:naryPr>
            <m:chr m:val="∑"/>
            <m:grow m:val="1"/>
            <m:ctrlPr>
              <w:rPr>
                <w:rFonts w:ascii="Cambria Math" w:hAnsi="Cambria Math" w:eastAsia="Cambria Math"/>
              </w:rPr>
            </m:ctrlPr>
          </m:naryPr>
          <m:sub>
            <m:r>
              <m:rPr/>
              <w:rPr>
                <w:rFonts w:ascii="Cambria Math" w:hAnsi="Cambria Math" w:eastAsia="Cambria Math"/>
              </w:rPr>
              <m:t>i=1</m:t>
            </m:r>
            <m:ctrlPr>
              <w:rPr>
                <w:rFonts w:ascii="Cambria Math" w:hAnsi="Cambria Math" w:eastAsia="Cambria Math"/>
              </w:rPr>
            </m:ctrlPr>
          </m:sub>
          <m:sup>
            <m:r>
              <m:rPr/>
              <w:rPr>
                <w:rFonts w:ascii="Cambria Math" w:hAnsi="Cambria Math" w:eastAsia="Cambria Math"/>
              </w:rPr>
              <m:t>n</m:t>
            </m:r>
            <m:ctrlPr>
              <w:rPr>
                <w:rFonts w:ascii="Cambria Math" w:hAnsi="Cambria Math" w:eastAsia="Cambria Math"/>
              </w:rPr>
            </m:ctrlPr>
          </m:sup>
          <m:e>
            <m:sSub>
              <m:sSubPr>
                <m:ctrlPr>
                  <w:rPr>
                    <w:rFonts w:ascii="Cambria Math" w:hAnsi="Cambria Math"/>
                    <w:i/>
                    <w:iCs/>
                    <w:vertAlign w:val="subscript"/>
                  </w:rPr>
                </m:ctrlPr>
              </m:sSubPr>
              <m:e>
                <m:r>
                  <m:rPr/>
                  <w:rPr>
                    <w:rFonts w:hint="eastAsia" w:ascii="Cambria Math" w:hAnsi="Cambria Math"/>
                    <w:vertAlign w:val="subscript"/>
                  </w:rPr>
                  <m:t>S</m:t>
                </m:r>
                <m:ctrlPr>
                  <w:rPr>
                    <w:rFonts w:ascii="Cambria Math" w:hAnsi="Cambria Math"/>
                    <w:i/>
                    <w:iCs/>
                    <w:vertAlign w:val="subscript"/>
                  </w:rPr>
                </m:ctrlPr>
              </m:e>
              <m:sub>
                <m:r>
                  <m:rPr/>
                  <w:rPr>
                    <w:rFonts w:ascii="Cambria Math" w:hAnsi="Cambria Math"/>
                    <w:vertAlign w:val="subscript"/>
                  </w:rPr>
                  <m:t>3</m:t>
                </m:r>
                <m:r>
                  <m:rPr/>
                  <w:rPr>
                    <w:rFonts w:hint="eastAsia" w:ascii="Cambria Math" w:hAnsi="Cambria Math"/>
                    <w:vertAlign w:val="subscript"/>
                  </w:rPr>
                  <m:t>i</m:t>
                </m:r>
                <m:ctrlPr>
                  <w:rPr>
                    <w:rFonts w:ascii="Cambria Math" w:hAnsi="Cambria Math"/>
                    <w:i/>
                    <w:iCs/>
                    <w:vertAlign w:val="subscript"/>
                  </w:rPr>
                </m:ctrlPr>
              </m:sub>
            </m:sSub>
            <m:r>
              <m:rPr/>
              <w:rPr>
                <w:rFonts w:ascii="Cambria Math" w:hAnsi="Cambria Math" w:eastAsia="Cambria Math"/>
              </w:rPr>
              <m:t>×pi(i=1</m:t>
            </m:r>
            <m:r>
              <m:rPr/>
              <w:rPr>
                <w:rFonts w:ascii="Cambria Math" w:hAnsi="Cambria Math" w:cs="宋体"/>
              </w:rPr>
              <m:t>,</m:t>
            </m:r>
            <m:r>
              <m:rPr/>
              <w:rPr>
                <w:rFonts w:ascii="Cambria Math" w:cs="宋体"/>
              </w:rPr>
              <m:t>2,</m:t>
            </m:r>
            <m:r>
              <m:rPr/>
              <w:rPr>
                <w:rFonts w:ascii="Cambria Math" w:hAnsi="Cambria Math" w:cs="宋体"/>
              </w:rPr>
              <m:t>⋯</m:t>
            </m:r>
            <m:r>
              <m:rPr/>
              <w:rPr>
                <w:rFonts w:ascii="Cambria Math" w:cs="宋体"/>
              </w:rPr>
              <m:t>n</m:t>
            </m:r>
            <m:r>
              <m:rPr/>
              <w:rPr>
                <w:rFonts w:ascii="Cambria Math" w:hAnsi="Cambria Math" w:eastAsia="Cambria Math"/>
              </w:rPr>
              <m:t>)</m:t>
            </m:r>
            <m:ctrlPr>
              <w:rPr>
                <w:rFonts w:ascii="Cambria Math" w:hAnsi="Cambria Math" w:eastAsia="Cambria Math"/>
              </w:rPr>
            </m:ctrlPr>
          </m:e>
        </m:nary>
      </m:oMath>
      <w:r>
        <w:rPr>
          <w:rFonts w:ascii="微软雅黑" w:hAnsi="微软雅黑" w:eastAsia="微软雅黑"/>
        </w:rPr>
        <w:tab/>
      </w:r>
      <w:r>
        <w:t>(</w:t>
      </w:r>
      <w:r>
        <w:fldChar w:fldCharType="begin"/>
      </w:r>
      <w:r>
        <w:instrText xml:space="preserve"> seq fulu_equation_133239410114524758 </w:instrText>
      </w:r>
      <w:r>
        <w:fldChar w:fldCharType="separate"/>
      </w:r>
      <w:r>
        <w:t>1</w:t>
      </w:r>
      <w:r>
        <w:fldChar w:fldCharType="end"/>
      </w:r>
      <w:r>
        <w:t>)</w:t>
      </w:r>
    </w:p>
    <w:p>
      <w:pPr>
        <w:pStyle w:val="56"/>
        <w:spacing w:line="240" w:lineRule="auto"/>
        <w:ind w:firstLine="420"/>
      </w:pPr>
      <w:r>
        <w:rPr>
          <w:rFonts w:hint="eastAsia"/>
        </w:rPr>
        <w:t>式中：</w:t>
      </w:r>
    </w:p>
    <w:p>
      <w:pPr>
        <w:tabs>
          <w:tab w:val="center" w:pos="4201"/>
          <w:tab w:val="right" w:leader="dot" w:pos="9298"/>
        </w:tabs>
        <w:autoSpaceDE w:val="0"/>
        <w:autoSpaceDN w:val="0"/>
        <w:spacing w:line="240" w:lineRule="auto"/>
        <w:ind w:firstLine="420" w:firstLineChars="200"/>
        <w:jc w:val="left"/>
        <w:rPr>
          <w:rFonts w:ascii="宋体"/>
        </w:rPr>
      </w:pPr>
      <m:oMath>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eastAsia="MS Mincho"/>
              </w:rPr>
              <m:t>2</m:t>
            </m:r>
            <m:ctrlPr>
              <w:rPr>
                <w:rFonts w:ascii="Cambria Math" w:hAnsi="Cambria Math"/>
                <w:i/>
              </w:rPr>
            </m:ctrlPr>
          </m:sub>
        </m:sSub>
      </m:oMath>
      <w:r>
        <w:rPr>
          <w:rFonts w:hint="eastAsia" w:ascii="宋体"/>
        </w:rPr>
        <w:t>——二级指标的质量得分；</w:t>
      </w:r>
    </w:p>
    <w:p>
      <w:pPr>
        <w:tabs>
          <w:tab w:val="center" w:pos="4201"/>
          <w:tab w:val="right" w:leader="dot" w:pos="9298"/>
        </w:tabs>
        <w:autoSpaceDE w:val="0"/>
        <w:autoSpaceDN w:val="0"/>
        <w:spacing w:line="240" w:lineRule="auto"/>
        <w:ind w:firstLine="420" w:firstLineChars="200"/>
        <w:jc w:val="left"/>
        <w:rPr>
          <w:rFonts w:ascii="宋体"/>
        </w:rPr>
      </w:pPr>
      <m:oMath>
        <m:r>
          <m:rPr/>
          <w:rPr>
            <w:rFonts w:ascii="Cambria Math" w:hAnsi="Cambria Math"/>
          </w:rPr>
          <m:t xml:space="preserve">i </m:t>
        </m:r>
      </m:oMath>
      <w:r>
        <w:rPr>
          <w:rFonts w:hint="eastAsia" w:ascii="宋体"/>
        </w:rPr>
        <w:t>——三级指标的序号；</w:t>
      </w:r>
    </w:p>
    <w:p>
      <w:pPr>
        <w:tabs>
          <w:tab w:val="center" w:pos="4201"/>
          <w:tab w:val="right" w:leader="dot" w:pos="9298"/>
        </w:tabs>
        <w:autoSpaceDE w:val="0"/>
        <w:autoSpaceDN w:val="0"/>
        <w:spacing w:line="240" w:lineRule="auto"/>
        <w:ind w:firstLine="420" w:firstLineChars="200"/>
        <w:jc w:val="left"/>
        <w:rPr>
          <w:rFonts w:ascii="宋体"/>
        </w:rPr>
      </w:pPr>
      <m:oMath>
        <m:r>
          <m:rPr/>
          <w:rPr>
            <w:rFonts w:hint="eastAsia" w:ascii="Cambria Math" w:hAnsi="Cambria Math"/>
          </w:rPr>
          <m:t>n</m:t>
        </m:r>
      </m:oMath>
      <w:r>
        <w:rPr>
          <w:rFonts w:hint="eastAsia" w:ascii="宋体"/>
        </w:rPr>
        <w:t>——三级指标的数量；</w:t>
      </w:r>
    </w:p>
    <w:p>
      <w:pPr>
        <w:tabs>
          <w:tab w:val="center" w:pos="4201"/>
          <w:tab w:val="right" w:leader="dot" w:pos="9298"/>
        </w:tabs>
        <w:autoSpaceDE w:val="0"/>
        <w:autoSpaceDN w:val="0"/>
        <w:spacing w:line="240" w:lineRule="auto"/>
        <w:ind w:firstLine="420" w:firstLineChars="200"/>
        <w:jc w:val="left"/>
        <w:rPr>
          <w:rFonts w:ascii="宋体"/>
        </w:rPr>
      </w:pPr>
      <m:oMath>
        <m:sSub>
          <m:sSubPr>
            <m:ctrlPr>
              <w:rPr>
                <w:rFonts w:ascii="Cambria Math" w:hAnsi="Cambria Math"/>
                <w:i/>
                <w:iCs/>
                <w:vertAlign w:val="subscript"/>
              </w:rPr>
            </m:ctrlPr>
          </m:sSubPr>
          <m:e>
            <m:r>
              <m:rPr/>
              <w:rPr>
                <w:rFonts w:hint="eastAsia" w:ascii="Cambria Math" w:hAnsi="Cambria Math"/>
                <w:vertAlign w:val="subscript"/>
              </w:rPr>
              <m:t>S</m:t>
            </m:r>
            <m:ctrlPr>
              <w:rPr>
                <w:rFonts w:ascii="Cambria Math" w:hAnsi="Cambria Math"/>
                <w:i/>
                <w:iCs/>
                <w:vertAlign w:val="subscript"/>
              </w:rPr>
            </m:ctrlPr>
          </m:e>
          <m:sub>
            <m:r>
              <m:rPr/>
              <w:rPr>
                <w:rFonts w:ascii="Cambria Math" w:hAnsi="Cambria Math"/>
                <w:vertAlign w:val="subscript"/>
              </w:rPr>
              <m:t>3</m:t>
            </m:r>
            <m:r>
              <m:rPr/>
              <w:rPr>
                <w:rFonts w:hint="eastAsia" w:ascii="Cambria Math" w:hAnsi="Cambria Math"/>
                <w:vertAlign w:val="subscript"/>
              </w:rPr>
              <m:t>i</m:t>
            </m:r>
            <m:ctrlPr>
              <w:rPr>
                <w:rFonts w:ascii="Cambria Math" w:hAnsi="Cambria Math"/>
                <w:i/>
                <w:iCs/>
                <w:vertAlign w:val="subscript"/>
              </w:rPr>
            </m:ctrlPr>
          </m:sub>
        </m:sSub>
        <m:r>
          <m:rPr/>
          <w:rPr>
            <w:rFonts w:ascii="Cambria Math" w:hAnsi="Cambria Math"/>
            <w:vertAlign w:val="subscript"/>
          </w:rPr>
          <m:t xml:space="preserve"> </m:t>
        </m:r>
      </m:oMath>
      <w:r>
        <w:rPr>
          <w:rFonts w:hint="eastAsia" w:ascii="宋体"/>
        </w:rPr>
        <w:t>——某类三级指标的质量得分；</w:t>
      </w:r>
    </w:p>
    <w:p>
      <w:pPr>
        <w:tabs>
          <w:tab w:val="center" w:pos="4201"/>
          <w:tab w:val="right" w:leader="dot" w:pos="9298"/>
        </w:tabs>
        <w:autoSpaceDE w:val="0"/>
        <w:autoSpaceDN w:val="0"/>
        <w:spacing w:line="240" w:lineRule="auto"/>
        <w:ind w:firstLine="420" w:firstLineChars="200"/>
        <w:jc w:val="left"/>
        <w:rPr>
          <w:rFonts w:ascii="宋体"/>
        </w:rPr>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 xml:space="preserve"> </m:t>
        </m:r>
      </m:oMath>
      <w:r>
        <w:rPr>
          <w:rFonts w:hint="eastAsia" w:ascii="宋体"/>
        </w:rPr>
        <w:t>——某类三级指标对应的权值。</w:t>
      </w:r>
    </w:p>
    <w:p>
      <w:pPr>
        <w:tabs>
          <w:tab w:val="center" w:pos="4201"/>
          <w:tab w:val="right" w:leader="dot" w:pos="9298"/>
        </w:tabs>
        <w:autoSpaceDE w:val="0"/>
        <w:autoSpaceDN w:val="0"/>
        <w:spacing w:line="240" w:lineRule="auto"/>
        <w:ind w:firstLine="420" w:firstLineChars="200"/>
        <w:jc w:val="left"/>
        <w:rPr>
          <w:rFonts w:ascii="宋体"/>
        </w:rPr>
      </w:pPr>
      <w:r>
        <w:rPr>
          <w:rFonts w:hint="eastAsia" w:ascii="宋体"/>
        </w:rPr>
        <w:t>各类三级指标权值见表1，需要调整值时应保权值和为1。</w:t>
      </w:r>
    </w:p>
    <w:p>
      <w:pPr>
        <w:pStyle w:val="57"/>
        <w:ind w:firstLine="360"/>
        <w:rPr>
          <w:sz w:val="18"/>
          <w:szCs w:val="16"/>
        </w:rPr>
      </w:pPr>
      <w:r>
        <w:rPr>
          <w:rFonts w:hint="eastAsia"/>
          <w:sz w:val="18"/>
          <w:szCs w:val="16"/>
        </w:rPr>
        <w:t>示例：三级指标配送准确性的质量得分为8</w:t>
      </w:r>
      <w:r>
        <w:rPr>
          <w:sz w:val="18"/>
          <w:szCs w:val="16"/>
        </w:rPr>
        <w:t>0(</w:t>
      </w:r>
      <w:r>
        <w:rPr>
          <w:rFonts w:hint="eastAsia"/>
          <w:sz w:val="18"/>
          <w:szCs w:val="16"/>
        </w:rPr>
        <w:t>权值0</w:t>
      </w:r>
      <w:r>
        <w:rPr>
          <w:sz w:val="18"/>
          <w:szCs w:val="16"/>
        </w:rPr>
        <w:t>.5)</w:t>
      </w:r>
      <w:r>
        <w:rPr>
          <w:rFonts w:hint="eastAsia"/>
          <w:sz w:val="18"/>
          <w:szCs w:val="16"/>
        </w:rPr>
        <w:t>、批号管理为60</w:t>
      </w:r>
      <w:r>
        <w:rPr>
          <w:sz w:val="18"/>
          <w:szCs w:val="16"/>
        </w:rPr>
        <w:t>(</w:t>
      </w:r>
      <w:r>
        <w:rPr>
          <w:rFonts w:hint="eastAsia"/>
          <w:sz w:val="18"/>
          <w:szCs w:val="16"/>
        </w:rPr>
        <w:t>权值0</w:t>
      </w:r>
      <w:r>
        <w:rPr>
          <w:sz w:val="18"/>
          <w:szCs w:val="16"/>
        </w:rPr>
        <w:t>.</w:t>
      </w:r>
      <w:r>
        <w:rPr>
          <w:rFonts w:hint="eastAsia"/>
          <w:sz w:val="18"/>
          <w:szCs w:val="16"/>
        </w:rPr>
        <w:t>3</w:t>
      </w:r>
      <w:r>
        <w:rPr>
          <w:sz w:val="18"/>
          <w:szCs w:val="16"/>
        </w:rPr>
        <w:t>)</w:t>
      </w:r>
      <w:r>
        <w:rPr>
          <w:rFonts w:hint="eastAsia"/>
          <w:sz w:val="18"/>
          <w:szCs w:val="16"/>
        </w:rPr>
        <w:t>、外包装为10</w:t>
      </w:r>
      <w:r>
        <w:rPr>
          <w:sz w:val="18"/>
          <w:szCs w:val="16"/>
        </w:rPr>
        <w:t>0(</w:t>
      </w:r>
      <w:r>
        <w:rPr>
          <w:rFonts w:hint="eastAsia"/>
          <w:sz w:val="18"/>
          <w:szCs w:val="16"/>
        </w:rPr>
        <w:t>权值0</w:t>
      </w:r>
      <w:r>
        <w:rPr>
          <w:sz w:val="18"/>
          <w:szCs w:val="16"/>
        </w:rPr>
        <w:t>.</w:t>
      </w:r>
      <w:r>
        <w:rPr>
          <w:rFonts w:hint="eastAsia"/>
          <w:sz w:val="18"/>
          <w:szCs w:val="16"/>
        </w:rPr>
        <w:t>2</w:t>
      </w:r>
      <w:r>
        <w:rPr>
          <w:sz w:val="18"/>
          <w:szCs w:val="16"/>
        </w:rPr>
        <w:t>)</w:t>
      </w:r>
      <w:r>
        <w:rPr>
          <w:rFonts w:hint="eastAsia"/>
          <w:sz w:val="18"/>
          <w:szCs w:val="16"/>
        </w:rPr>
        <w:t>，即二级指标配送的质量得分(</w:t>
      </w:r>
      <m:oMath>
        <m:sSub>
          <m:sSubPr>
            <m:ctrlPr>
              <w:rPr>
                <w:rFonts w:ascii="Cambria Math" w:hAnsi="Cambria Math"/>
                <w:i/>
                <w:sz w:val="18"/>
                <w:szCs w:val="16"/>
              </w:rPr>
            </m:ctrlPr>
          </m:sSubPr>
          <m:e>
            <m:r>
              <m:rPr/>
              <w:rPr>
                <w:rFonts w:ascii="Cambria Math" w:hAnsi="Cambria Math"/>
                <w:sz w:val="18"/>
                <w:szCs w:val="16"/>
              </w:rPr>
              <m:t>S</m:t>
            </m:r>
            <m:ctrlPr>
              <w:rPr>
                <w:rFonts w:ascii="Cambria Math" w:hAnsi="Cambria Math"/>
                <w:i/>
                <w:sz w:val="18"/>
                <w:szCs w:val="16"/>
              </w:rPr>
            </m:ctrlPr>
          </m:e>
          <m:sub>
            <m:r>
              <m:rPr/>
              <w:rPr>
                <w:rFonts w:ascii="Cambria Math" w:hAnsi="Cambria Math"/>
                <w:sz w:val="18"/>
                <w:szCs w:val="16"/>
              </w:rPr>
              <m:t>2</m:t>
            </m:r>
            <m:ctrlPr>
              <w:rPr>
                <w:rFonts w:ascii="Cambria Math" w:hAnsi="Cambria Math"/>
                <w:i/>
                <w:sz w:val="18"/>
                <w:szCs w:val="16"/>
              </w:rPr>
            </m:ctrlPr>
          </m:sub>
        </m:sSub>
      </m:oMath>
      <w:r>
        <w:rPr>
          <w:sz w:val="18"/>
          <w:szCs w:val="16"/>
        </w:rPr>
        <w:t>)</w:t>
      </w:r>
      <w:r>
        <w:rPr>
          <w:rFonts w:hint="eastAsia"/>
          <w:sz w:val="18"/>
          <w:szCs w:val="16"/>
        </w:rPr>
        <w:t>如下：</w:t>
      </w:r>
    </w:p>
    <w:p>
      <w:pPr>
        <w:pStyle w:val="57"/>
        <w:ind w:firstLine="360"/>
      </w:pPr>
      <m:oMathPara>
        <m:oMath>
          <m:sSub>
            <m:sSubPr>
              <m:ctrlPr>
                <w:rPr>
                  <w:rFonts w:ascii="Cambria Math" w:hAnsi="Cambria Math"/>
                  <w:i/>
                  <w:sz w:val="18"/>
                  <w:szCs w:val="16"/>
                </w:rPr>
              </m:ctrlPr>
            </m:sSubPr>
            <m:e>
              <m:r>
                <m:rPr/>
                <w:rPr>
                  <w:rFonts w:hint="eastAsia" w:ascii="Cambria Math" w:hAnsi="Cambria Math"/>
                  <w:sz w:val="18"/>
                  <w:szCs w:val="16"/>
                </w:rPr>
                <m:t>S</m:t>
              </m:r>
              <m:ctrlPr>
                <w:rPr>
                  <w:rFonts w:ascii="Cambria Math" w:hAnsi="Cambria Math"/>
                  <w:i/>
                  <w:sz w:val="18"/>
                  <w:szCs w:val="16"/>
                </w:rPr>
              </m:ctrlPr>
            </m:e>
            <m:sub>
              <m:r>
                <m:rPr/>
                <w:rPr>
                  <w:rFonts w:ascii="Cambria Math" w:hAnsi="Cambria Math"/>
                  <w:sz w:val="18"/>
                  <w:szCs w:val="16"/>
                </w:rPr>
                <m:t>2</m:t>
              </m:r>
              <m:ctrlPr>
                <w:rPr>
                  <w:rFonts w:ascii="Cambria Math" w:hAnsi="Cambria Math"/>
                  <w:i/>
                  <w:sz w:val="18"/>
                  <w:szCs w:val="16"/>
                </w:rPr>
              </m:ctrlPr>
            </m:sub>
          </m:sSub>
          <m:r>
            <m:rPr/>
            <w:rPr>
              <w:rFonts w:ascii="Cambria Math" w:hAnsi="Cambria Math"/>
              <w:sz w:val="18"/>
              <w:szCs w:val="16"/>
            </w:rPr>
            <m:t>=80×0.5+60×0.3+100×0.2=78</m:t>
          </m:r>
        </m:oMath>
      </m:oMathPara>
    </w:p>
    <w:p>
      <w:pPr>
        <w:pStyle w:val="79"/>
        <w:spacing w:before="120" w:after="120"/>
      </w:pPr>
      <w:r>
        <w:rPr>
          <w:rFonts w:hint="eastAsia"/>
        </w:rPr>
        <w:t>一级指标的质量得分(</w:t>
      </w:r>
      <m:oMath>
        <m:sSub>
          <m:sSubPr>
            <m:ctrlPr>
              <w:rPr>
                <w:rFonts w:hint="eastAsia" w:ascii="Cambria Math" w:hAnsi="Cambria Math"/>
              </w:rPr>
            </m:ctrlPr>
          </m:sSubPr>
          <m:e>
            <m:r>
              <m:rPr>
                <m:sty m:val="p"/>
              </m:rPr>
              <w:rPr>
                <w:rFonts w:hint="eastAsia" w:ascii="Cambria Math" w:hAnsi="Cambria Math"/>
              </w:rPr>
              <m:t>S</m:t>
            </m:r>
            <m:ctrlPr>
              <w:rPr>
                <w:rFonts w:hint="eastAsia" w:ascii="Cambria Math" w:hAnsi="Cambria Math"/>
              </w:rPr>
            </m:ctrlPr>
          </m:e>
          <m:sub>
            <m:r>
              <m:rPr>
                <m:sty m:val="p"/>
              </m:rPr>
              <w:rPr>
                <w:rFonts w:hint="eastAsia" w:ascii="Cambria Math" w:hAnsi="Cambria Math"/>
              </w:rPr>
              <m:t>1</m:t>
            </m:r>
            <m:ctrlPr>
              <w:rPr>
                <w:rFonts w:hint="eastAsia" w:ascii="Cambria Math" w:hAnsi="Cambria Math"/>
              </w:rPr>
            </m:ctrlPr>
          </m:sub>
        </m:sSub>
      </m:oMath>
      <w:r>
        <w:rPr>
          <w:rFonts w:hint="eastAsia"/>
        </w:rPr>
        <w:t>)计算方式</w:t>
      </w:r>
    </w:p>
    <w:p>
      <w:pPr>
        <w:pStyle w:val="57"/>
        <w:ind w:firstLine="420"/>
      </w:pPr>
      <w:r>
        <w:rPr>
          <w:rFonts w:hint="eastAsia"/>
        </w:rPr>
        <w:t>院内物流服务质量得分（</w:t>
      </w:r>
      <m:oMath>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rPr>
              <m:t>1</m:t>
            </m:r>
            <m:ctrlPr>
              <w:rPr>
                <w:rFonts w:ascii="Cambria Math" w:hAnsi="Cambria Math"/>
                <w:i/>
              </w:rPr>
            </m:ctrlPr>
          </m:sub>
        </m:sSub>
      </m:oMath>
      <w:r>
        <w:rPr>
          <w:rFonts w:hint="eastAsia"/>
        </w:rPr>
        <w:t>）以百分制表征，采用加权平均法计算，见公式(</w:t>
      </w:r>
      <w:r>
        <w:t>2</w:t>
      </w:r>
      <w:r>
        <w:rPr>
          <w:rFonts w:hint="eastAsia"/>
        </w:rPr>
        <w:t>)。</w:t>
      </w:r>
    </w:p>
    <w:p>
      <w:pPr>
        <w:pStyle w:val="114"/>
      </w:pPr>
      <w:r>
        <w:tab/>
      </w:r>
      <m:oMath>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rPr>
              <m:t>1</m:t>
            </m:r>
            <m:ctrlPr>
              <w:rPr>
                <w:rFonts w:ascii="Cambria Math" w:hAnsi="Cambria Math"/>
                <w:i/>
              </w:rPr>
            </m:ctrlPr>
          </m:sub>
        </m:sSub>
        <m:r>
          <m:rPr>
            <m:nor/>
          </m:rPr>
          <w:rPr>
            <w:rStyle w:val="187"/>
            <w:rFonts w:ascii="Cambria Math" w:hAnsi="Cambria Math" w:eastAsia="Cambria Math"/>
            <w:i/>
          </w:rPr>
          <m:t>=</m:t>
        </m:r>
        <m:nary>
          <m:naryPr>
            <m:chr m:val="∑"/>
            <m:grow m:val="1"/>
            <m:ctrlPr>
              <w:rPr>
                <w:rFonts w:ascii="Cambria Math" w:hAnsi="Cambria Math" w:eastAsia="Cambria Math"/>
              </w:rPr>
            </m:ctrlPr>
          </m:naryPr>
          <m:sub>
            <m:r>
              <m:rPr/>
              <w:rPr>
                <w:rFonts w:ascii="Cambria Math" w:hAnsi="Cambria Math" w:eastAsia="Cambria Math"/>
              </w:rPr>
              <m:t>i=1</m:t>
            </m:r>
            <m:ctrlPr>
              <w:rPr>
                <w:rFonts w:ascii="Cambria Math" w:hAnsi="Cambria Math" w:eastAsia="Cambria Math"/>
              </w:rPr>
            </m:ctrlPr>
          </m:sub>
          <m:sup>
            <m:r>
              <m:rPr/>
              <w:rPr>
                <w:rFonts w:ascii="Cambria Math" w:hAnsi="Cambria Math" w:eastAsia="Cambria Math"/>
              </w:rPr>
              <m:t>n</m:t>
            </m:r>
            <m:ctrlPr>
              <w:rPr>
                <w:rFonts w:ascii="Cambria Math" w:hAnsi="Cambria Math" w:eastAsia="Cambria Math"/>
              </w:rPr>
            </m:ctrlPr>
          </m:sup>
          <m:e>
            <m:sSub>
              <m:sSubPr>
                <m:ctrlPr>
                  <w:rPr>
                    <w:rFonts w:ascii="Cambria Math" w:hAnsi="Cambria Math"/>
                    <w:i/>
                    <w:iCs/>
                    <w:vertAlign w:val="subscript"/>
                  </w:rPr>
                </m:ctrlPr>
              </m:sSubPr>
              <m:e>
                <m:r>
                  <m:rPr/>
                  <w:rPr>
                    <w:rFonts w:hint="eastAsia" w:ascii="Cambria Math" w:hAnsi="Cambria Math"/>
                    <w:vertAlign w:val="subscript"/>
                  </w:rPr>
                  <m:t>S</m:t>
                </m:r>
                <m:ctrlPr>
                  <w:rPr>
                    <w:rFonts w:ascii="Cambria Math" w:hAnsi="Cambria Math"/>
                    <w:i/>
                    <w:iCs/>
                    <w:vertAlign w:val="subscript"/>
                  </w:rPr>
                </m:ctrlPr>
              </m:e>
              <m:sub>
                <m:r>
                  <m:rPr/>
                  <w:rPr>
                    <w:rFonts w:ascii="Cambria Math" w:hAnsi="Cambria Math"/>
                    <w:vertAlign w:val="subscript"/>
                  </w:rPr>
                  <m:t>2</m:t>
                </m:r>
                <m:r>
                  <m:rPr/>
                  <w:rPr>
                    <w:rFonts w:hint="eastAsia" w:ascii="Cambria Math" w:hAnsi="Cambria Math"/>
                    <w:vertAlign w:val="subscript"/>
                  </w:rPr>
                  <m:t>i</m:t>
                </m:r>
                <m:ctrlPr>
                  <w:rPr>
                    <w:rFonts w:ascii="Cambria Math" w:hAnsi="Cambria Math"/>
                    <w:i/>
                    <w:iCs/>
                    <w:vertAlign w:val="subscript"/>
                  </w:rPr>
                </m:ctrlPr>
              </m:sub>
            </m:sSub>
            <m:r>
              <m:rPr/>
              <w:rPr>
                <w:rFonts w:ascii="Cambria Math" w:hAnsi="Cambria Math" w:eastAsia="Cambria Math"/>
              </w:rPr>
              <m:t>×pi(i=1</m:t>
            </m:r>
            <m:r>
              <m:rPr/>
              <w:rPr>
                <w:rFonts w:ascii="Cambria Math" w:hAnsi="Cambria Math" w:cs="宋体"/>
              </w:rPr>
              <m:t>,</m:t>
            </m:r>
            <m:r>
              <m:rPr/>
              <w:rPr>
                <w:rFonts w:ascii="Cambria Math" w:cs="宋体"/>
              </w:rPr>
              <m:t>2,</m:t>
            </m:r>
            <m:r>
              <m:rPr/>
              <w:rPr>
                <w:rFonts w:ascii="Cambria Math" w:hAnsi="Cambria Math" w:cs="宋体"/>
              </w:rPr>
              <m:t>⋯</m:t>
            </m:r>
            <m:r>
              <m:rPr/>
              <w:rPr>
                <w:rFonts w:ascii="Cambria Math" w:cs="宋体"/>
              </w:rPr>
              <m:t>n</m:t>
            </m:r>
            <m:r>
              <m:rPr/>
              <w:rPr>
                <w:rFonts w:ascii="Cambria Math" w:hAnsi="Cambria Math" w:eastAsia="Cambria Math"/>
              </w:rPr>
              <m:t>)</m:t>
            </m:r>
            <m:ctrlPr>
              <w:rPr>
                <w:rFonts w:ascii="Cambria Math" w:hAnsi="Cambria Math" w:eastAsia="Cambria Math"/>
              </w:rPr>
            </m:ctrlPr>
          </m:e>
        </m:nary>
      </m:oMath>
      <w:r>
        <w:rPr>
          <w:rFonts w:ascii="微软雅黑" w:hAnsi="微软雅黑" w:eastAsia="微软雅黑"/>
        </w:rPr>
        <w:tab/>
      </w:r>
      <w:r>
        <w:t>(</w:t>
      </w:r>
      <w:r>
        <w:fldChar w:fldCharType="begin"/>
      </w:r>
      <w:r>
        <w:instrText xml:space="preserve">  seq fulu_equation_133239410114524758  </w:instrText>
      </w:r>
      <w:r>
        <w:fldChar w:fldCharType="separate"/>
      </w:r>
      <w:r>
        <w:t>2</w:t>
      </w:r>
      <w:r>
        <w:fldChar w:fldCharType="end"/>
      </w:r>
      <w:r>
        <w:t>)</w:t>
      </w:r>
    </w:p>
    <w:p>
      <w:pPr>
        <w:tabs>
          <w:tab w:val="center" w:pos="4201"/>
          <w:tab w:val="right" w:leader="dot" w:pos="9298"/>
        </w:tabs>
        <w:autoSpaceDE w:val="0"/>
        <w:autoSpaceDN w:val="0"/>
        <w:spacing w:line="240" w:lineRule="auto"/>
        <w:ind w:firstLine="420" w:firstLineChars="200"/>
        <w:jc w:val="left"/>
        <w:rPr>
          <w:rFonts w:ascii="宋体"/>
        </w:rPr>
      </w:pPr>
      <w:r>
        <w:rPr>
          <w:rFonts w:hint="eastAsia"/>
        </w:rPr>
        <w:t>式中：</w:t>
      </w:r>
    </w:p>
    <w:p>
      <w:pPr>
        <w:tabs>
          <w:tab w:val="center" w:pos="4201"/>
          <w:tab w:val="right" w:leader="dot" w:pos="9298"/>
        </w:tabs>
        <w:autoSpaceDE w:val="0"/>
        <w:autoSpaceDN w:val="0"/>
        <w:spacing w:line="240" w:lineRule="auto"/>
        <w:ind w:firstLine="420" w:firstLineChars="200"/>
        <w:jc w:val="left"/>
        <w:rPr>
          <w:rFonts w:ascii="宋体"/>
        </w:rPr>
      </w:pPr>
      <m:oMath>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rPr>
              <m:t>1</m:t>
            </m:r>
            <m:ctrlPr>
              <w:rPr>
                <w:rFonts w:ascii="Cambria Math" w:hAnsi="Cambria Math"/>
                <w:i/>
              </w:rPr>
            </m:ctrlPr>
          </m:sub>
        </m:sSub>
      </m:oMath>
      <w:r>
        <w:rPr>
          <w:rFonts w:hint="eastAsia" w:ascii="宋体"/>
        </w:rPr>
        <w:t>——一级指标的质量得分；</w:t>
      </w:r>
    </w:p>
    <w:p>
      <w:pPr>
        <w:tabs>
          <w:tab w:val="center" w:pos="4201"/>
          <w:tab w:val="right" w:leader="dot" w:pos="9298"/>
        </w:tabs>
        <w:autoSpaceDE w:val="0"/>
        <w:autoSpaceDN w:val="0"/>
        <w:spacing w:line="240" w:lineRule="auto"/>
        <w:ind w:firstLine="420" w:firstLineChars="200"/>
        <w:jc w:val="left"/>
        <w:rPr>
          <w:rFonts w:ascii="宋体"/>
        </w:rPr>
      </w:pPr>
      <m:oMath>
        <m:r>
          <m:rPr/>
          <w:rPr>
            <w:rFonts w:ascii="Cambria Math" w:hAnsi="Cambria Math"/>
          </w:rPr>
          <m:t xml:space="preserve">i </m:t>
        </m:r>
      </m:oMath>
      <w:r>
        <w:rPr>
          <w:rFonts w:hint="eastAsia" w:ascii="宋体"/>
        </w:rPr>
        <w:t>——二级指标的序号；</w:t>
      </w:r>
    </w:p>
    <w:p>
      <w:pPr>
        <w:tabs>
          <w:tab w:val="center" w:pos="4201"/>
          <w:tab w:val="right" w:leader="dot" w:pos="9298"/>
        </w:tabs>
        <w:autoSpaceDE w:val="0"/>
        <w:autoSpaceDN w:val="0"/>
        <w:spacing w:line="240" w:lineRule="auto"/>
        <w:ind w:firstLine="420" w:firstLineChars="200"/>
        <w:jc w:val="left"/>
        <w:rPr>
          <w:rFonts w:ascii="宋体"/>
        </w:rPr>
      </w:pPr>
      <m:oMath>
        <m:r>
          <m:rPr/>
          <w:rPr>
            <w:rFonts w:hint="eastAsia" w:ascii="Cambria Math" w:hAnsi="Cambria Math"/>
          </w:rPr>
          <m:t>n</m:t>
        </m:r>
      </m:oMath>
      <w:r>
        <w:rPr>
          <w:rFonts w:hint="eastAsia" w:ascii="宋体"/>
        </w:rPr>
        <w:t>——二级指标的数量；</w:t>
      </w:r>
    </w:p>
    <w:p>
      <w:pPr>
        <w:tabs>
          <w:tab w:val="center" w:pos="4201"/>
          <w:tab w:val="right" w:leader="dot" w:pos="9298"/>
        </w:tabs>
        <w:autoSpaceDE w:val="0"/>
        <w:autoSpaceDN w:val="0"/>
        <w:spacing w:line="240" w:lineRule="auto"/>
        <w:ind w:firstLine="420" w:firstLineChars="200"/>
        <w:jc w:val="left"/>
        <w:rPr>
          <w:rFonts w:ascii="宋体"/>
        </w:rPr>
      </w:pPr>
      <m:oMath>
        <m:sSub>
          <m:sSubPr>
            <m:ctrlPr>
              <w:rPr>
                <w:rFonts w:ascii="Cambria Math" w:hAnsi="Cambria Math"/>
                <w:i/>
                <w:iCs/>
                <w:vertAlign w:val="subscript"/>
              </w:rPr>
            </m:ctrlPr>
          </m:sSubPr>
          <m:e>
            <m:r>
              <m:rPr/>
              <w:rPr>
                <w:rFonts w:hint="eastAsia" w:ascii="Cambria Math" w:hAnsi="Cambria Math"/>
                <w:vertAlign w:val="subscript"/>
              </w:rPr>
              <m:t>S</m:t>
            </m:r>
            <m:ctrlPr>
              <w:rPr>
                <w:rFonts w:ascii="Cambria Math" w:hAnsi="Cambria Math"/>
                <w:i/>
                <w:iCs/>
                <w:vertAlign w:val="subscript"/>
              </w:rPr>
            </m:ctrlPr>
          </m:e>
          <m:sub>
            <m:r>
              <m:rPr/>
              <w:rPr>
                <w:rFonts w:ascii="Cambria Math" w:hAnsi="Cambria Math"/>
                <w:vertAlign w:val="subscript"/>
              </w:rPr>
              <m:t>2</m:t>
            </m:r>
            <m:r>
              <m:rPr/>
              <w:rPr>
                <w:rFonts w:hint="eastAsia" w:ascii="Cambria Math" w:hAnsi="Cambria Math"/>
                <w:vertAlign w:val="subscript"/>
              </w:rPr>
              <m:t>i</m:t>
            </m:r>
            <m:ctrlPr>
              <w:rPr>
                <w:rFonts w:ascii="Cambria Math" w:hAnsi="Cambria Math"/>
                <w:i/>
                <w:iCs/>
                <w:vertAlign w:val="subscript"/>
              </w:rPr>
            </m:ctrlPr>
          </m:sub>
        </m:sSub>
      </m:oMath>
      <w:r>
        <w:rPr>
          <w:rFonts w:ascii="宋体"/>
          <w:iCs/>
          <w:vertAlign w:val="subscript"/>
        </w:rPr>
        <w:t xml:space="preserve"> </w:t>
      </w:r>
      <w:r>
        <w:rPr>
          <w:rFonts w:hint="eastAsia" w:ascii="宋体"/>
        </w:rPr>
        <w:t>——某类二级指标的质量得分；</w:t>
      </w:r>
    </w:p>
    <w:p>
      <w:pPr>
        <w:tabs>
          <w:tab w:val="center" w:pos="4201"/>
          <w:tab w:val="right" w:leader="dot" w:pos="9298"/>
        </w:tabs>
        <w:autoSpaceDE w:val="0"/>
        <w:autoSpaceDN w:val="0"/>
        <w:spacing w:line="240" w:lineRule="auto"/>
        <w:ind w:firstLine="420" w:firstLineChars="200"/>
        <w:jc w:val="left"/>
        <w:rPr>
          <w:rFonts w:ascii="宋体"/>
        </w:rPr>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 xml:space="preserve"> </m:t>
        </m:r>
      </m:oMath>
      <w:r>
        <w:rPr>
          <w:rFonts w:hint="eastAsia" w:ascii="宋体"/>
        </w:rPr>
        <w:t>——某类二级指标对应的权值。</w:t>
      </w:r>
    </w:p>
    <w:p>
      <w:pPr>
        <w:tabs>
          <w:tab w:val="center" w:pos="4201"/>
          <w:tab w:val="right" w:leader="dot" w:pos="9298"/>
        </w:tabs>
        <w:autoSpaceDE w:val="0"/>
        <w:autoSpaceDN w:val="0"/>
        <w:spacing w:line="240" w:lineRule="auto"/>
        <w:ind w:firstLine="420" w:firstLineChars="200"/>
        <w:jc w:val="left"/>
        <w:rPr>
          <w:rFonts w:ascii="宋体"/>
        </w:rPr>
      </w:pPr>
      <w:r>
        <w:rPr>
          <w:rFonts w:hint="eastAsia" w:ascii="宋体"/>
        </w:rPr>
        <w:t>各类二级指标权值见表1，需要调整值时应保权值和为1。</w:t>
      </w:r>
    </w:p>
    <w:p>
      <w:pPr>
        <w:pStyle w:val="57"/>
        <w:ind w:firstLine="360"/>
        <w:rPr>
          <w:sz w:val="18"/>
          <w:szCs w:val="16"/>
        </w:rPr>
      </w:pPr>
      <w:r>
        <w:rPr>
          <w:rFonts w:hint="eastAsia"/>
          <w:sz w:val="18"/>
          <w:szCs w:val="16"/>
        </w:rPr>
        <w:t>示例：二级指标订单响应的质量得分为8</w:t>
      </w:r>
      <w:r>
        <w:rPr>
          <w:sz w:val="18"/>
          <w:szCs w:val="16"/>
        </w:rPr>
        <w:t>0(</w:t>
      </w:r>
      <w:r>
        <w:rPr>
          <w:rFonts w:hint="eastAsia"/>
          <w:sz w:val="18"/>
          <w:szCs w:val="16"/>
        </w:rPr>
        <w:t>权值0</w:t>
      </w:r>
      <w:r>
        <w:rPr>
          <w:sz w:val="18"/>
          <w:szCs w:val="16"/>
        </w:rPr>
        <w:t>.</w:t>
      </w:r>
      <w:r>
        <w:rPr>
          <w:rFonts w:hint="eastAsia"/>
          <w:sz w:val="18"/>
          <w:szCs w:val="16"/>
        </w:rPr>
        <w:t>15</w:t>
      </w:r>
      <w:r>
        <w:rPr>
          <w:sz w:val="18"/>
          <w:szCs w:val="16"/>
        </w:rPr>
        <w:t>)</w:t>
      </w:r>
      <w:r>
        <w:rPr>
          <w:rFonts w:hint="eastAsia"/>
          <w:sz w:val="18"/>
          <w:szCs w:val="16"/>
        </w:rPr>
        <w:t>、配送为78</w:t>
      </w:r>
      <w:r>
        <w:rPr>
          <w:sz w:val="18"/>
          <w:szCs w:val="16"/>
        </w:rPr>
        <w:t>(</w:t>
      </w:r>
      <w:r>
        <w:rPr>
          <w:rFonts w:hint="eastAsia"/>
          <w:sz w:val="18"/>
          <w:szCs w:val="16"/>
        </w:rPr>
        <w:t>权值0</w:t>
      </w:r>
      <w:r>
        <w:rPr>
          <w:sz w:val="18"/>
          <w:szCs w:val="16"/>
        </w:rPr>
        <w:t>.</w:t>
      </w:r>
      <w:r>
        <w:rPr>
          <w:rFonts w:hint="eastAsia"/>
          <w:sz w:val="18"/>
          <w:szCs w:val="16"/>
        </w:rPr>
        <w:t>55</w:t>
      </w:r>
      <w:r>
        <w:rPr>
          <w:sz w:val="18"/>
          <w:szCs w:val="16"/>
        </w:rPr>
        <w:t>)</w:t>
      </w:r>
      <w:r>
        <w:rPr>
          <w:rFonts w:hint="eastAsia"/>
          <w:sz w:val="18"/>
          <w:szCs w:val="16"/>
        </w:rPr>
        <w:t>、产品追溯为</w:t>
      </w:r>
      <w:r>
        <w:rPr>
          <w:rFonts w:hint="eastAsia" w:eastAsia="MS Mincho"/>
          <w:sz w:val="18"/>
          <w:szCs w:val="16"/>
        </w:rPr>
        <w:t>8</w:t>
      </w:r>
      <w:r>
        <w:rPr>
          <w:sz w:val="18"/>
          <w:szCs w:val="16"/>
        </w:rPr>
        <w:t>0(</w:t>
      </w:r>
      <w:r>
        <w:rPr>
          <w:rFonts w:hint="eastAsia"/>
          <w:sz w:val="18"/>
          <w:szCs w:val="16"/>
        </w:rPr>
        <w:t>权值0</w:t>
      </w:r>
      <w:r>
        <w:rPr>
          <w:sz w:val="18"/>
          <w:szCs w:val="16"/>
        </w:rPr>
        <w:t>.</w:t>
      </w:r>
      <w:r>
        <w:rPr>
          <w:rFonts w:hint="eastAsia" w:eastAsia="MS Mincho"/>
          <w:sz w:val="18"/>
          <w:szCs w:val="16"/>
        </w:rPr>
        <w:t>3</w:t>
      </w:r>
      <w:r>
        <w:rPr>
          <w:sz w:val="18"/>
          <w:szCs w:val="16"/>
        </w:rPr>
        <w:t>)</w:t>
      </w:r>
      <w:r>
        <w:rPr>
          <w:rFonts w:hint="eastAsia"/>
          <w:sz w:val="18"/>
          <w:szCs w:val="16"/>
        </w:rPr>
        <w:t>，即一级指标定点配送的质量得分(</w:t>
      </w:r>
      <m:oMath>
        <m:sSub>
          <m:sSubPr>
            <m:ctrlPr>
              <w:rPr>
                <w:rFonts w:ascii="Cambria Math" w:hAnsi="Cambria Math"/>
                <w:i/>
                <w:sz w:val="18"/>
                <w:szCs w:val="16"/>
              </w:rPr>
            </m:ctrlPr>
          </m:sSubPr>
          <m:e>
            <m:r>
              <m:rPr/>
              <w:rPr>
                <w:rFonts w:ascii="Cambria Math" w:hAnsi="Cambria Math"/>
                <w:sz w:val="18"/>
                <w:szCs w:val="16"/>
              </w:rPr>
              <m:t>S</m:t>
            </m:r>
            <m:ctrlPr>
              <w:rPr>
                <w:rFonts w:ascii="Cambria Math" w:hAnsi="Cambria Math"/>
                <w:i/>
                <w:sz w:val="18"/>
                <w:szCs w:val="16"/>
              </w:rPr>
            </m:ctrlPr>
          </m:e>
          <m:sub>
            <m:r>
              <m:rPr/>
              <w:rPr>
                <w:rFonts w:ascii="Cambria Math" w:hAnsi="Cambria Math"/>
                <w:sz w:val="18"/>
                <w:szCs w:val="16"/>
              </w:rPr>
              <m:t>1</m:t>
            </m:r>
            <m:ctrlPr>
              <w:rPr>
                <w:rFonts w:ascii="Cambria Math" w:hAnsi="Cambria Math"/>
                <w:i/>
                <w:sz w:val="18"/>
                <w:szCs w:val="16"/>
              </w:rPr>
            </m:ctrlPr>
          </m:sub>
        </m:sSub>
      </m:oMath>
      <w:r>
        <w:rPr>
          <w:sz w:val="18"/>
          <w:szCs w:val="16"/>
        </w:rPr>
        <w:t>)</w:t>
      </w:r>
      <w:r>
        <w:rPr>
          <w:rFonts w:hint="eastAsia"/>
          <w:sz w:val="18"/>
          <w:szCs w:val="16"/>
        </w:rPr>
        <w:t>如下：</w:t>
      </w:r>
    </w:p>
    <w:p>
      <w:pPr>
        <w:pStyle w:val="57"/>
        <w:ind w:firstLine="360"/>
      </w:pPr>
      <m:oMathPara>
        <m:oMath>
          <m:sSub>
            <m:sSubPr>
              <m:ctrlPr>
                <w:rPr>
                  <w:rFonts w:ascii="Cambria Math" w:hAnsi="Cambria Math"/>
                  <w:i/>
                  <w:sz w:val="18"/>
                  <w:szCs w:val="16"/>
                </w:rPr>
              </m:ctrlPr>
            </m:sSubPr>
            <m:e>
              <m:r>
                <m:rPr/>
                <w:rPr>
                  <w:rFonts w:hint="eastAsia" w:ascii="Cambria Math" w:hAnsi="Cambria Math"/>
                  <w:sz w:val="18"/>
                  <w:szCs w:val="16"/>
                </w:rPr>
                <m:t>S</m:t>
              </m:r>
              <m:ctrlPr>
                <w:rPr>
                  <w:rFonts w:ascii="Cambria Math" w:hAnsi="Cambria Math"/>
                  <w:i/>
                  <w:sz w:val="18"/>
                  <w:szCs w:val="16"/>
                </w:rPr>
              </m:ctrlPr>
            </m:e>
            <m:sub>
              <m:r>
                <m:rPr/>
                <w:rPr>
                  <w:rFonts w:ascii="Cambria Math" w:hAnsi="Cambria Math"/>
                  <w:sz w:val="18"/>
                  <w:szCs w:val="16"/>
                </w:rPr>
                <m:t>1</m:t>
              </m:r>
              <m:ctrlPr>
                <w:rPr>
                  <w:rFonts w:ascii="Cambria Math" w:hAnsi="Cambria Math"/>
                  <w:i/>
                  <w:sz w:val="18"/>
                  <w:szCs w:val="16"/>
                </w:rPr>
              </m:ctrlPr>
            </m:sub>
          </m:sSub>
          <m:r>
            <m:rPr/>
            <w:rPr>
              <w:rFonts w:ascii="Cambria Math" w:hAnsi="Cambria Math"/>
              <w:sz w:val="18"/>
              <w:szCs w:val="16"/>
            </w:rPr>
            <m:t>=80×0.15+78×0.55+80×0.3=78.9</m:t>
          </m:r>
        </m:oMath>
      </m:oMathPara>
    </w:p>
    <w:p>
      <w:pPr>
        <w:pStyle w:val="79"/>
        <w:spacing w:before="120" w:after="120"/>
      </w:pPr>
      <w:r>
        <w:rPr>
          <w:rFonts w:hint="eastAsia"/>
        </w:rPr>
        <w:t>医院院内物流服务质量得分（S）计算公式</w:t>
      </w:r>
    </w:p>
    <w:p>
      <w:pPr>
        <w:pStyle w:val="57"/>
        <w:ind w:firstLine="420"/>
      </w:pPr>
      <w:r>
        <w:rPr>
          <w:rFonts w:hint="eastAsia"/>
        </w:rPr>
        <w:t>各类一级指标的质量得分(</w:t>
      </w:r>
      <m:oMath>
        <m:r>
          <m:rPr/>
          <w:rPr>
            <w:rFonts w:ascii="Cambria Math" w:hAnsi="Cambria Math"/>
          </w:rPr>
          <m:t>S</m:t>
        </m:r>
      </m:oMath>
      <w:r>
        <w:rPr>
          <w:rFonts w:hint="eastAsia"/>
        </w:rPr>
        <w:t>)以百分制表征，采用加权平均法计算，见公式(</w:t>
      </w:r>
      <w:r>
        <w:t>3</w:t>
      </w:r>
      <w:r>
        <w:rPr>
          <w:rFonts w:hint="eastAsia"/>
        </w:rPr>
        <w:t>)。</w:t>
      </w:r>
    </w:p>
    <w:p>
      <w:pPr>
        <w:pStyle w:val="114"/>
      </w:pPr>
      <w:r>
        <w:tab/>
      </w:r>
      <m:oMath>
        <m:r>
          <m:rPr/>
          <w:rPr>
            <w:rFonts w:ascii="Cambria Math" w:hAnsi="Cambria Math" w:eastAsia="Cambria Math"/>
          </w:rPr>
          <m:t>S</m:t>
        </m:r>
        <m:r>
          <m:rPr>
            <m:nor/>
          </m:rPr>
          <w:rPr>
            <w:rStyle w:val="187"/>
            <w:rFonts w:ascii="Cambria Math" w:hAnsi="Cambria Math" w:eastAsia="Cambria Math"/>
            <w:i/>
          </w:rPr>
          <m:t>=</m:t>
        </m:r>
        <m:nary>
          <m:naryPr>
            <m:chr m:val="∑"/>
            <m:grow m:val="1"/>
            <m:ctrlPr>
              <w:rPr>
                <w:rFonts w:ascii="Cambria Math" w:hAnsi="Cambria Math" w:eastAsia="Cambria Math"/>
              </w:rPr>
            </m:ctrlPr>
          </m:naryPr>
          <m:sub>
            <m:r>
              <m:rPr/>
              <w:rPr>
                <w:rFonts w:ascii="Cambria Math" w:hAnsi="Cambria Math" w:eastAsia="Cambria Math"/>
              </w:rPr>
              <m:t>i=1</m:t>
            </m:r>
            <m:ctrlPr>
              <w:rPr>
                <w:rFonts w:ascii="Cambria Math" w:hAnsi="Cambria Math" w:eastAsia="Cambria Math"/>
              </w:rPr>
            </m:ctrlPr>
          </m:sub>
          <m:sup>
            <m:r>
              <m:rPr/>
              <w:rPr>
                <w:rFonts w:ascii="Cambria Math" w:hAnsi="Cambria Math" w:eastAsia="Cambria Math"/>
              </w:rPr>
              <m:t>8</m:t>
            </m:r>
            <m:ctrlPr>
              <w:rPr>
                <w:rFonts w:ascii="Cambria Math" w:hAnsi="Cambria Math" w:eastAsia="Cambria Math"/>
              </w:rPr>
            </m:ctrlPr>
          </m:sup>
          <m:e>
            <m:sSub>
              <m:sSubPr>
                <m:ctrlPr>
                  <w:rPr>
                    <w:rFonts w:ascii="Cambria Math" w:hAnsi="Cambria Math"/>
                    <w:i/>
                    <w:iCs/>
                    <w:vertAlign w:val="subscript"/>
                  </w:rPr>
                </m:ctrlPr>
              </m:sSubPr>
              <m:e>
                <m:r>
                  <m:rPr/>
                  <w:rPr>
                    <w:rFonts w:hint="eastAsia" w:ascii="Cambria Math" w:hAnsi="Cambria Math"/>
                    <w:vertAlign w:val="subscript"/>
                  </w:rPr>
                  <m:t>S</m:t>
                </m:r>
                <m:ctrlPr>
                  <w:rPr>
                    <w:rFonts w:ascii="Cambria Math" w:hAnsi="Cambria Math"/>
                    <w:i/>
                    <w:iCs/>
                    <w:vertAlign w:val="subscript"/>
                  </w:rPr>
                </m:ctrlPr>
              </m:e>
              <m:sub>
                <m:r>
                  <m:rPr/>
                  <w:rPr>
                    <w:rFonts w:ascii="Cambria Math" w:hAnsi="Cambria Math"/>
                    <w:vertAlign w:val="subscript"/>
                  </w:rPr>
                  <m:t>1</m:t>
                </m:r>
                <m:r>
                  <m:rPr/>
                  <w:rPr>
                    <w:rFonts w:hint="eastAsia" w:ascii="Cambria Math" w:hAnsi="Cambria Math"/>
                    <w:vertAlign w:val="subscript"/>
                  </w:rPr>
                  <m:t>i</m:t>
                </m:r>
                <m:ctrlPr>
                  <w:rPr>
                    <w:rFonts w:ascii="Cambria Math" w:hAnsi="Cambria Math"/>
                    <w:i/>
                    <w:iCs/>
                    <w:vertAlign w:val="subscript"/>
                  </w:rPr>
                </m:ctrlPr>
              </m:sub>
            </m:sSub>
            <m:r>
              <m:rPr/>
              <w:rPr>
                <w:rFonts w:ascii="Cambria Math" w:hAnsi="Cambria Math"/>
                <w:vertAlign w:val="subscript"/>
              </w:rPr>
              <m:t xml:space="preserve"> </m:t>
            </m:r>
            <m:r>
              <m:rPr/>
              <w:rPr>
                <w:rFonts w:ascii="Cambria Math" w:hAnsi="Cambria Math" w:eastAsia="Cambria Math"/>
              </w:rPr>
              <m:t>×pi</m:t>
            </m:r>
            <m:ctrlPr>
              <w:rPr>
                <w:rFonts w:ascii="Cambria Math" w:hAnsi="Cambria Math" w:eastAsia="Cambria Math"/>
              </w:rPr>
            </m:ctrlPr>
          </m:e>
        </m:nary>
      </m:oMath>
      <w:r>
        <w:rPr>
          <w:rFonts w:ascii="微软雅黑" w:hAnsi="微软雅黑" w:eastAsia="微软雅黑"/>
        </w:rPr>
        <w:tab/>
      </w:r>
      <w:r>
        <w:t>(</w:t>
      </w:r>
      <w:r>
        <w:fldChar w:fldCharType="begin"/>
      </w:r>
      <w:r>
        <w:instrText xml:space="preserve">  seq fulu_equation_133239410114524758  </w:instrText>
      </w:r>
      <w:r>
        <w:fldChar w:fldCharType="separate"/>
      </w:r>
      <w:r>
        <w:t>3</w:t>
      </w:r>
      <w:r>
        <w:fldChar w:fldCharType="end"/>
      </w:r>
      <w:r>
        <w:t>)</w:t>
      </w:r>
    </w:p>
    <w:p>
      <w:pPr>
        <w:pStyle w:val="56"/>
        <w:spacing w:line="240" w:lineRule="auto"/>
        <w:ind w:firstLine="420"/>
      </w:pPr>
      <w:r>
        <w:rPr>
          <w:rFonts w:hint="eastAsia"/>
        </w:rPr>
        <w:t>式中：</w:t>
      </w:r>
    </w:p>
    <w:p>
      <w:pPr>
        <w:tabs>
          <w:tab w:val="center" w:pos="4201"/>
          <w:tab w:val="right" w:leader="dot" w:pos="9298"/>
        </w:tabs>
        <w:autoSpaceDE w:val="0"/>
        <w:autoSpaceDN w:val="0"/>
        <w:spacing w:line="240" w:lineRule="auto"/>
        <w:ind w:firstLine="420" w:firstLineChars="200"/>
        <w:jc w:val="left"/>
        <w:rPr>
          <w:rFonts w:ascii="宋体"/>
        </w:rPr>
      </w:pPr>
      <m:oMath>
        <m:r>
          <m:rPr/>
          <w:rPr>
            <w:rFonts w:ascii="Cambria Math" w:hAnsi="Cambria Math"/>
          </w:rPr>
          <m:t>S</m:t>
        </m:r>
      </m:oMath>
      <w:r>
        <w:rPr>
          <w:rFonts w:hint="eastAsia" w:ascii="宋体"/>
        </w:rPr>
        <w:t>——院内物流服务质量得分；</w:t>
      </w:r>
    </w:p>
    <w:p>
      <w:pPr>
        <w:tabs>
          <w:tab w:val="center" w:pos="4201"/>
          <w:tab w:val="right" w:leader="dot" w:pos="9298"/>
        </w:tabs>
        <w:autoSpaceDE w:val="0"/>
        <w:autoSpaceDN w:val="0"/>
        <w:spacing w:line="240" w:lineRule="auto"/>
        <w:ind w:firstLine="420" w:firstLineChars="200"/>
        <w:jc w:val="left"/>
        <w:rPr>
          <w:rFonts w:ascii="宋体"/>
        </w:rPr>
      </w:pPr>
      <m:oMath>
        <m:r>
          <m:rPr/>
          <w:rPr>
            <w:rFonts w:ascii="Cambria Math" w:hAnsi="Cambria Math"/>
          </w:rPr>
          <m:t xml:space="preserve">i </m:t>
        </m:r>
      </m:oMath>
      <w:r>
        <w:rPr>
          <w:rFonts w:hint="eastAsia" w:ascii="宋体"/>
        </w:rPr>
        <w:t>——某类一级指标的序号；</w:t>
      </w:r>
    </w:p>
    <w:p>
      <w:pPr>
        <w:tabs>
          <w:tab w:val="center" w:pos="4201"/>
          <w:tab w:val="right" w:leader="dot" w:pos="9298"/>
        </w:tabs>
        <w:autoSpaceDE w:val="0"/>
        <w:autoSpaceDN w:val="0"/>
        <w:spacing w:line="240" w:lineRule="auto"/>
        <w:ind w:firstLine="420" w:firstLineChars="200"/>
        <w:jc w:val="left"/>
        <w:rPr>
          <w:rFonts w:ascii="宋体"/>
        </w:rPr>
      </w:pPr>
      <m:oMath>
        <m:sSub>
          <m:sSubPr>
            <m:ctrlPr>
              <w:rPr>
                <w:rFonts w:ascii="Cambria Math" w:hAnsi="Cambria Math"/>
                <w:i/>
                <w:iCs/>
                <w:vertAlign w:val="subscript"/>
              </w:rPr>
            </m:ctrlPr>
          </m:sSubPr>
          <m:e>
            <m:r>
              <m:rPr/>
              <w:rPr>
                <w:rFonts w:hint="eastAsia" w:ascii="Cambria Math" w:hAnsi="Cambria Math"/>
                <w:vertAlign w:val="subscript"/>
              </w:rPr>
              <m:t>S</m:t>
            </m:r>
            <m:ctrlPr>
              <w:rPr>
                <w:rFonts w:ascii="Cambria Math" w:hAnsi="Cambria Math"/>
                <w:i/>
                <w:iCs/>
                <w:vertAlign w:val="subscript"/>
              </w:rPr>
            </m:ctrlPr>
          </m:e>
          <m:sub>
            <m:r>
              <m:rPr/>
              <w:rPr>
                <w:rFonts w:ascii="Cambria Math" w:hAnsi="Cambria Math"/>
                <w:vertAlign w:val="subscript"/>
              </w:rPr>
              <m:t>1</m:t>
            </m:r>
            <m:r>
              <m:rPr/>
              <w:rPr>
                <w:rFonts w:hint="eastAsia" w:ascii="Cambria Math" w:hAnsi="Cambria Math"/>
                <w:vertAlign w:val="subscript"/>
              </w:rPr>
              <m:t>i</m:t>
            </m:r>
            <m:ctrlPr>
              <w:rPr>
                <w:rFonts w:ascii="Cambria Math" w:hAnsi="Cambria Math"/>
                <w:i/>
                <w:iCs/>
                <w:vertAlign w:val="subscript"/>
              </w:rPr>
            </m:ctrlPr>
          </m:sub>
        </m:sSub>
        <m:r>
          <m:rPr/>
          <w:rPr>
            <w:rFonts w:ascii="Cambria Math" w:hAnsi="Cambria Math"/>
            <w:vertAlign w:val="subscript"/>
          </w:rPr>
          <m:t xml:space="preserve"> </m:t>
        </m:r>
      </m:oMath>
      <w:r>
        <w:rPr>
          <w:rFonts w:hint="eastAsia" w:ascii="宋体"/>
        </w:rPr>
        <w:t>——某类一级指标的质量得分；</w:t>
      </w:r>
    </w:p>
    <w:p>
      <w:pPr>
        <w:tabs>
          <w:tab w:val="center" w:pos="4201"/>
          <w:tab w:val="right" w:leader="dot" w:pos="9298"/>
        </w:tabs>
        <w:autoSpaceDE w:val="0"/>
        <w:autoSpaceDN w:val="0"/>
        <w:spacing w:line="240" w:lineRule="auto"/>
        <w:ind w:firstLine="420" w:firstLineChars="200"/>
        <w:jc w:val="left"/>
        <w:rPr>
          <w:rFonts w:ascii="宋体"/>
        </w:rPr>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 xml:space="preserve"> </m:t>
        </m:r>
      </m:oMath>
      <w:r>
        <w:rPr>
          <w:rFonts w:hint="eastAsia" w:ascii="宋体"/>
        </w:rPr>
        <w:t>——某类一级指标对应的权值。</w:t>
      </w:r>
    </w:p>
    <w:p>
      <w:pPr>
        <w:tabs>
          <w:tab w:val="center" w:pos="4201"/>
          <w:tab w:val="right" w:leader="dot" w:pos="9298"/>
        </w:tabs>
        <w:autoSpaceDE w:val="0"/>
        <w:autoSpaceDN w:val="0"/>
        <w:spacing w:line="240" w:lineRule="auto"/>
        <w:ind w:firstLine="420" w:firstLineChars="200"/>
        <w:jc w:val="left"/>
        <w:rPr>
          <w:rFonts w:ascii="宋体"/>
        </w:rPr>
      </w:pPr>
      <w:r>
        <w:rPr>
          <w:rFonts w:hint="eastAsia" w:ascii="宋体"/>
        </w:rPr>
        <w:t>各类一级指标权值见表1，需要调整值时应保权值和为1。</w:t>
      </w:r>
      <w:r>
        <w:rPr>
          <w:rFonts w:ascii="宋体"/>
        </w:rPr>
        <w:t xml:space="preserve">                  </w:t>
      </w:r>
      <w:r>
        <w:rPr>
          <w:rFonts w:hint="eastAsia" w:hAnsi="宋体" w:cs="宋体"/>
          <w:i/>
          <w:iCs/>
        </w:rPr>
        <w:t xml:space="preserve">       </w:t>
      </w:r>
    </w:p>
    <w:p>
      <w:pPr>
        <w:tabs>
          <w:tab w:val="center" w:pos="4201"/>
          <w:tab w:val="right" w:leader="dot" w:pos="9298"/>
        </w:tabs>
        <w:autoSpaceDE w:val="0"/>
        <w:autoSpaceDN w:val="0"/>
        <w:spacing w:line="240" w:lineRule="auto"/>
        <w:ind w:firstLine="420"/>
        <w:jc w:val="left"/>
        <w:rPr>
          <w:rFonts w:ascii="宋体"/>
          <w:sz w:val="18"/>
          <w:szCs w:val="16"/>
        </w:rPr>
      </w:pPr>
      <w:r>
        <w:rPr>
          <w:rFonts w:hint="eastAsia" w:ascii="宋体"/>
          <w:sz w:val="18"/>
          <w:szCs w:val="16"/>
        </w:rPr>
        <w:t>示例：一级指标供应保障的质量得分为7</w:t>
      </w:r>
      <w:r>
        <w:rPr>
          <w:rFonts w:ascii="宋体"/>
          <w:sz w:val="18"/>
          <w:szCs w:val="16"/>
        </w:rPr>
        <w:t>0(</w:t>
      </w:r>
      <w:r>
        <w:rPr>
          <w:rFonts w:hint="eastAsia" w:ascii="宋体"/>
          <w:sz w:val="18"/>
          <w:szCs w:val="16"/>
        </w:rPr>
        <w:t>权值0</w:t>
      </w:r>
      <w:r>
        <w:rPr>
          <w:rFonts w:ascii="宋体"/>
          <w:sz w:val="18"/>
          <w:szCs w:val="16"/>
        </w:rPr>
        <w:t>.</w:t>
      </w:r>
      <w:r>
        <w:rPr>
          <w:rFonts w:hint="eastAsia" w:ascii="宋体"/>
          <w:sz w:val="18"/>
          <w:szCs w:val="16"/>
        </w:rPr>
        <w:t>15</w:t>
      </w:r>
      <w:r>
        <w:rPr>
          <w:rFonts w:ascii="宋体"/>
          <w:sz w:val="18"/>
          <w:szCs w:val="16"/>
        </w:rPr>
        <w:t>)</w:t>
      </w:r>
      <w:r>
        <w:rPr>
          <w:rFonts w:hint="eastAsia" w:ascii="宋体"/>
          <w:sz w:val="18"/>
          <w:szCs w:val="16"/>
        </w:rPr>
        <w:t>、收货验收为7</w:t>
      </w:r>
      <w:r>
        <w:rPr>
          <w:rFonts w:ascii="宋体"/>
          <w:sz w:val="18"/>
          <w:szCs w:val="16"/>
        </w:rPr>
        <w:t>0(</w:t>
      </w:r>
      <w:r>
        <w:rPr>
          <w:rFonts w:hint="eastAsia" w:ascii="宋体"/>
          <w:sz w:val="18"/>
          <w:szCs w:val="16"/>
        </w:rPr>
        <w:t>权值0</w:t>
      </w:r>
      <w:r>
        <w:rPr>
          <w:rFonts w:ascii="宋体"/>
          <w:sz w:val="18"/>
          <w:szCs w:val="16"/>
        </w:rPr>
        <w:t>.</w:t>
      </w:r>
      <w:r>
        <w:rPr>
          <w:rFonts w:hint="eastAsia" w:ascii="宋体"/>
          <w:sz w:val="18"/>
          <w:szCs w:val="16"/>
        </w:rPr>
        <w:t>05</w:t>
      </w:r>
      <w:r>
        <w:rPr>
          <w:rFonts w:ascii="宋体"/>
          <w:sz w:val="18"/>
          <w:szCs w:val="16"/>
        </w:rPr>
        <w:t>)</w:t>
      </w:r>
      <w:r>
        <w:rPr>
          <w:rFonts w:hint="eastAsia" w:ascii="宋体"/>
          <w:sz w:val="18"/>
          <w:szCs w:val="16"/>
        </w:rPr>
        <w:t>、储存养护为8</w:t>
      </w:r>
      <w:r>
        <w:rPr>
          <w:rFonts w:ascii="宋体"/>
          <w:sz w:val="18"/>
          <w:szCs w:val="16"/>
        </w:rPr>
        <w:t>0(</w:t>
      </w:r>
      <w:r>
        <w:rPr>
          <w:rFonts w:hint="eastAsia" w:ascii="宋体"/>
          <w:sz w:val="18"/>
          <w:szCs w:val="16"/>
        </w:rPr>
        <w:t>权值0</w:t>
      </w:r>
      <w:r>
        <w:rPr>
          <w:rFonts w:ascii="宋体"/>
          <w:sz w:val="18"/>
          <w:szCs w:val="16"/>
        </w:rPr>
        <w:t>.</w:t>
      </w:r>
      <w:r>
        <w:rPr>
          <w:rFonts w:hint="eastAsia" w:ascii="宋体" w:eastAsia="MS Mincho"/>
          <w:sz w:val="18"/>
          <w:szCs w:val="16"/>
        </w:rPr>
        <w:t>2</w:t>
      </w:r>
      <w:r>
        <w:rPr>
          <w:rFonts w:ascii="宋体"/>
          <w:sz w:val="18"/>
          <w:szCs w:val="16"/>
        </w:rPr>
        <w:t>)</w:t>
      </w:r>
      <w:r>
        <w:rPr>
          <w:rFonts w:hint="eastAsia" w:ascii="宋体"/>
          <w:sz w:val="18"/>
          <w:szCs w:val="16"/>
        </w:rPr>
        <w:t>、调配调剂为8</w:t>
      </w:r>
      <w:r>
        <w:rPr>
          <w:rFonts w:ascii="宋体"/>
          <w:sz w:val="18"/>
          <w:szCs w:val="16"/>
        </w:rPr>
        <w:t>0(</w:t>
      </w:r>
      <w:r>
        <w:rPr>
          <w:rFonts w:hint="eastAsia" w:ascii="宋体"/>
          <w:sz w:val="18"/>
          <w:szCs w:val="16"/>
        </w:rPr>
        <w:t>权值0</w:t>
      </w:r>
      <w:r>
        <w:rPr>
          <w:rFonts w:ascii="宋体"/>
          <w:sz w:val="18"/>
          <w:szCs w:val="16"/>
        </w:rPr>
        <w:t>.1)</w:t>
      </w:r>
      <w:r>
        <w:rPr>
          <w:rFonts w:hint="eastAsia" w:ascii="宋体"/>
          <w:sz w:val="18"/>
          <w:szCs w:val="16"/>
        </w:rPr>
        <w:t>、定点配送为78.9</w:t>
      </w:r>
      <w:r>
        <w:rPr>
          <w:rFonts w:ascii="宋体"/>
          <w:sz w:val="18"/>
          <w:szCs w:val="16"/>
        </w:rPr>
        <w:t>(</w:t>
      </w:r>
      <w:r>
        <w:rPr>
          <w:rFonts w:hint="eastAsia" w:ascii="宋体"/>
          <w:sz w:val="18"/>
          <w:szCs w:val="16"/>
        </w:rPr>
        <w:t>权值0</w:t>
      </w:r>
      <w:r>
        <w:rPr>
          <w:rFonts w:ascii="宋体"/>
          <w:sz w:val="18"/>
          <w:szCs w:val="16"/>
        </w:rPr>
        <w:t>.</w:t>
      </w:r>
      <w:r>
        <w:rPr>
          <w:rFonts w:hint="eastAsia" w:ascii="宋体"/>
          <w:sz w:val="18"/>
          <w:szCs w:val="16"/>
        </w:rPr>
        <w:t>2</w:t>
      </w:r>
      <w:r>
        <w:rPr>
          <w:rFonts w:ascii="宋体"/>
          <w:sz w:val="18"/>
          <w:szCs w:val="16"/>
        </w:rPr>
        <w:t>)</w:t>
      </w:r>
      <w:r>
        <w:rPr>
          <w:rFonts w:hint="eastAsia" w:ascii="宋体"/>
          <w:sz w:val="18"/>
          <w:szCs w:val="16"/>
        </w:rPr>
        <w:t>、对账服务为8</w:t>
      </w:r>
      <w:r>
        <w:rPr>
          <w:rFonts w:ascii="宋体"/>
          <w:sz w:val="18"/>
          <w:szCs w:val="16"/>
        </w:rPr>
        <w:t>0(</w:t>
      </w:r>
      <w:r>
        <w:rPr>
          <w:rFonts w:hint="eastAsia" w:ascii="宋体"/>
          <w:sz w:val="18"/>
          <w:szCs w:val="16"/>
        </w:rPr>
        <w:t>权值0</w:t>
      </w:r>
      <w:r>
        <w:rPr>
          <w:rFonts w:ascii="宋体"/>
          <w:sz w:val="18"/>
          <w:szCs w:val="16"/>
        </w:rPr>
        <w:t>.</w:t>
      </w:r>
      <w:r>
        <w:rPr>
          <w:rFonts w:hint="eastAsia" w:ascii="宋体"/>
          <w:sz w:val="18"/>
          <w:szCs w:val="16"/>
        </w:rPr>
        <w:t>1</w:t>
      </w:r>
      <w:r>
        <w:rPr>
          <w:rFonts w:ascii="宋体"/>
          <w:sz w:val="18"/>
          <w:szCs w:val="16"/>
        </w:rPr>
        <w:t>)</w:t>
      </w:r>
      <w:r>
        <w:rPr>
          <w:rFonts w:hint="eastAsia" w:ascii="宋体"/>
          <w:sz w:val="18"/>
          <w:szCs w:val="16"/>
        </w:rPr>
        <w:t>，设施设备管理为9</w:t>
      </w:r>
      <w:r>
        <w:rPr>
          <w:rFonts w:ascii="宋体"/>
          <w:sz w:val="18"/>
          <w:szCs w:val="16"/>
        </w:rPr>
        <w:t>0(</w:t>
      </w:r>
      <w:r>
        <w:rPr>
          <w:rFonts w:hint="eastAsia" w:ascii="宋体"/>
          <w:sz w:val="18"/>
          <w:szCs w:val="16"/>
        </w:rPr>
        <w:t>权值0</w:t>
      </w:r>
      <w:r>
        <w:rPr>
          <w:rFonts w:ascii="宋体"/>
          <w:sz w:val="18"/>
          <w:szCs w:val="16"/>
        </w:rPr>
        <w:t>.</w:t>
      </w:r>
      <w:r>
        <w:rPr>
          <w:rFonts w:hint="eastAsia" w:ascii="宋体"/>
          <w:sz w:val="18"/>
          <w:szCs w:val="16"/>
        </w:rPr>
        <w:t>15</w:t>
      </w:r>
      <w:r>
        <w:rPr>
          <w:rFonts w:ascii="宋体"/>
          <w:sz w:val="18"/>
          <w:szCs w:val="16"/>
        </w:rPr>
        <w:t>)</w:t>
      </w:r>
      <w:r>
        <w:rPr>
          <w:rFonts w:hint="eastAsia" w:ascii="宋体"/>
          <w:sz w:val="18"/>
          <w:szCs w:val="16"/>
        </w:rPr>
        <w:t>，数据管理为70</w:t>
      </w:r>
      <w:r>
        <w:rPr>
          <w:rFonts w:ascii="宋体"/>
          <w:sz w:val="18"/>
          <w:szCs w:val="16"/>
        </w:rPr>
        <w:t>(</w:t>
      </w:r>
      <w:r>
        <w:rPr>
          <w:rFonts w:hint="eastAsia" w:ascii="宋体"/>
          <w:sz w:val="18"/>
          <w:szCs w:val="16"/>
        </w:rPr>
        <w:t>权值0</w:t>
      </w:r>
      <w:r>
        <w:rPr>
          <w:rFonts w:ascii="宋体"/>
          <w:sz w:val="18"/>
          <w:szCs w:val="16"/>
        </w:rPr>
        <w:t>.</w:t>
      </w:r>
      <w:r>
        <w:rPr>
          <w:rFonts w:hint="eastAsia" w:ascii="宋体"/>
          <w:sz w:val="18"/>
          <w:szCs w:val="16"/>
        </w:rPr>
        <w:t>05</w:t>
      </w:r>
      <w:r>
        <w:rPr>
          <w:rFonts w:ascii="宋体"/>
          <w:sz w:val="18"/>
          <w:szCs w:val="16"/>
        </w:rPr>
        <w:t>)</w:t>
      </w:r>
      <w:r>
        <w:rPr>
          <w:rFonts w:hint="eastAsia" w:ascii="宋体"/>
          <w:sz w:val="18"/>
          <w:szCs w:val="16"/>
        </w:rPr>
        <w:t>，院内物流服务质量得分(</w:t>
      </w:r>
      <w:r>
        <w:rPr>
          <w:rFonts w:ascii="宋体"/>
          <w:sz w:val="18"/>
          <w:szCs w:val="16"/>
        </w:rPr>
        <w:t>S)</w:t>
      </w:r>
      <w:r>
        <w:rPr>
          <w:rFonts w:hint="eastAsia" w:ascii="宋体"/>
          <w:sz w:val="18"/>
          <w:szCs w:val="16"/>
        </w:rPr>
        <w:t>如下：</w:t>
      </w:r>
    </w:p>
    <w:p>
      <w:pPr>
        <w:tabs>
          <w:tab w:val="center" w:pos="4201"/>
          <w:tab w:val="right" w:leader="dot" w:pos="9298"/>
        </w:tabs>
        <w:autoSpaceDE w:val="0"/>
        <w:autoSpaceDN w:val="0"/>
        <w:spacing w:line="240" w:lineRule="auto"/>
        <w:ind w:firstLine="420"/>
        <w:jc w:val="left"/>
        <w:rPr>
          <w:rFonts w:ascii="宋体"/>
        </w:rPr>
      </w:pPr>
      <m:oMathPara>
        <m:oMath>
          <m:r>
            <m:rPr/>
            <w:rPr>
              <w:rFonts w:hint="eastAsia" w:ascii="Cambria Math" w:hAnsi="Cambria Math"/>
              <w:sz w:val="18"/>
              <w:szCs w:val="16"/>
            </w:rPr>
            <m:t>S</m:t>
          </m:r>
          <m:r>
            <m:rPr/>
            <w:rPr>
              <w:rFonts w:ascii="Cambria Math" w:hAnsi="Cambria Math"/>
              <w:sz w:val="18"/>
              <w:szCs w:val="16"/>
            </w:rPr>
            <m:t>=70×0.15+70×0.05+80×0.2+80×0.1+78.9×0.2+80×0.1+90×0.15+70×0.05 =78.78</m:t>
          </m:r>
        </m:oMath>
      </m:oMathPara>
    </w:p>
    <w:p>
      <w:pPr>
        <w:pStyle w:val="57"/>
        <w:ind w:firstLine="420"/>
      </w:pPr>
    </w:p>
    <w:bookmarkEnd w:id="41"/>
    <w:p>
      <w:pPr>
        <w:pStyle w:val="57"/>
        <w:ind w:firstLine="0" w:firstLineChars="0"/>
        <w:sectPr>
          <w:pgSz w:w="11906" w:h="16838"/>
          <w:pgMar w:top="1928" w:right="1134" w:bottom="1134" w:left="1134" w:header="1418" w:footer="1134" w:gutter="284"/>
          <w:cols w:space="425" w:num="1"/>
          <w:formProt w:val="0"/>
          <w:docGrid w:linePitch="312" w:charSpace="0"/>
        </w:sectPr>
      </w:pPr>
      <w:bookmarkStart w:id="42" w:name="BookMark6"/>
    </w:p>
    <w:p>
      <w:pPr>
        <w:pStyle w:val="64"/>
        <w:spacing w:after="120"/>
      </w:pPr>
      <w:r>
        <w:rPr>
          <w:rFonts w:hint="eastAsia"/>
          <w:spacing w:val="105"/>
        </w:rPr>
        <w:t>参考文</w:t>
      </w:r>
      <w:r>
        <w:rPr>
          <w:rFonts w:hint="eastAsia"/>
        </w:rPr>
        <w:t>献</w:t>
      </w:r>
    </w:p>
    <w:p>
      <w:pPr>
        <w:pStyle w:val="57"/>
        <w:ind w:firstLine="420"/>
      </w:pPr>
    </w:p>
    <w:p>
      <w:pPr>
        <w:pStyle w:val="57"/>
        <w:ind w:firstLine="420"/>
      </w:pPr>
    </w:p>
    <w:p>
      <w:pPr>
        <w:pStyle w:val="57"/>
        <w:ind w:firstLine="420"/>
      </w:pPr>
      <w:r>
        <w:rPr>
          <w:rFonts w:hint="eastAsia"/>
        </w:rPr>
        <w:t>[1]</w:t>
      </w:r>
      <w:r>
        <w:t xml:space="preserve"> </w:t>
      </w:r>
      <w:r>
        <w:rPr>
          <w:rFonts w:hint="eastAsia"/>
        </w:rPr>
        <w:t>GB/T 18316-2008 数字测绘成果质量检查与验收</w:t>
      </w:r>
    </w:p>
    <w:p>
      <w:pPr>
        <w:pStyle w:val="57"/>
        <w:ind w:firstLine="420"/>
      </w:pPr>
      <w:r>
        <w:rPr>
          <w:rFonts w:hint="eastAsia"/>
        </w:rPr>
        <w:t>[2]</w:t>
      </w:r>
      <w:r>
        <w:t xml:space="preserve"> </w:t>
      </w:r>
      <w:r>
        <w:rPr>
          <w:rFonts w:hint="eastAsia"/>
        </w:rPr>
        <w:t>WB/T 1115-2021 体外诊断试剂温控物流运作规范</w:t>
      </w:r>
    </w:p>
    <w:p>
      <w:pPr>
        <w:pStyle w:val="57"/>
        <w:ind w:firstLine="420"/>
      </w:pPr>
      <w:r>
        <w:rPr>
          <w:rFonts w:hint="eastAsia"/>
        </w:rPr>
        <w:t>[3]</w:t>
      </w:r>
      <w:r>
        <w:t xml:space="preserve"> </w:t>
      </w:r>
      <w:r>
        <w:rPr>
          <w:rFonts w:hint="eastAsia"/>
        </w:rPr>
        <w:t>关于医疗机构医用耗材管理办法（试行）的通知（国卫医发〔2019〕43号）</w:t>
      </w:r>
    </w:p>
    <w:p>
      <w:pPr>
        <w:pStyle w:val="57"/>
        <w:ind w:firstLine="420"/>
      </w:pPr>
      <w:r>
        <w:rPr>
          <w:rFonts w:hint="eastAsia"/>
        </w:rPr>
        <w:t>[4]</w:t>
      </w:r>
      <w:r>
        <w:t xml:space="preserve"> </w:t>
      </w:r>
      <w:r>
        <w:rPr>
          <w:rFonts w:hint="eastAsia"/>
        </w:rPr>
        <w:t>关于印发治理高值医用耗材改革方案的通知（国务院办〔2019〕37号）</w:t>
      </w:r>
    </w:p>
    <w:p>
      <w:pPr>
        <w:pStyle w:val="57"/>
        <w:ind w:firstLine="420"/>
      </w:pPr>
      <w:r>
        <w:rPr>
          <w:rFonts w:hint="eastAsia"/>
        </w:rPr>
        <w:t>[5]</w:t>
      </w:r>
      <w:r>
        <w:t xml:space="preserve"> </w:t>
      </w:r>
      <w:r>
        <w:rPr>
          <w:rFonts w:hint="eastAsia"/>
        </w:rPr>
        <w:t>关于城市公立医院综合改革试点的指导意见（国办发〔2015〕38号）</w:t>
      </w:r>
    </w:p>
    <w:p>
      <w:pPr>
        <w:pStyle w:val="57"/>
        <w:ind w:firstLine="420"/>
      </w:pPr>
      <w:r>
        <w:rPr>
          <w:rFonts w:hint="eastAsia"/>
        </w:rPr>
        <w:t>[6]</w:t>
      </w:r>
      <w:r>
        <w:t xml:space="preserve"> </w:t>
      </w:r>
      <w:r>
        <w:rPr>
          <w:rFonts w:hint="eastAsia"/>
        </w:rPr>
        <w:t>国家医疗保障信息业务标准化（医保办发〔2019〕39号）</w:t>
      </w:r>
    </w:p>
    <w:p>
      <w:pPr>
        <w:pStyle w:val="57"/>
        <w:ind w:firstLine="420"/>
      </w:pPr>
      <w:r>
        <w:rPr>
          <w:rFonts w:hint="eastAsia"/>
        </w:rPr>
        <w:t>[7]</w:t>
      </w:r>
      <w:r>
        <w:t xml:space="preserve"> </w:t>
      </w:r>
      <w:r>
        <w:rPr>
          <w:rFonts w:hint="eastAsia"/>
        </w:rPr>
        <w:t>医疗器械唯一标识系统规则（国家药品监督管理局公告第66号)</w:t>
      </w:r>
    </w:p>
    <w:p>
      <w:pPr>
        <w:pStyle w:val="57"/>
        <w:ind w:firstLine="420"/>
      </w:pPr>
      <w:r>
        <w:rPr>
          <w:rFonts w:hint="eastAsia"/>
        </w:rPr>
        <w:t>[8]</w:t>
      </w:r>
      <w:r>
        <w:t xml:space="preserve"> </w:t>
      </w:r>
      <w:r>
        <w:rPr>
          <w:rFonts w:hint="eastAsia"/>
        </w:rPr>
        <w:t>医疗器械注册与备案管理办法（国家市场监督管理总局〔2021〕第47号）</w:t>
      </w:r>
    </w:p>
    <w:p>
      <w:pPr>
        <w:pStyle w:val="57"/>
        <w:ind w:firstLine="420"/>
      </w:pPr>
      <w:r>
        <w:rPr>
          <w:rFonts w:hint="eastAsia"/>
        </w:rPr>
        <w:t>[9]</w:t>
      </w:r>
      <w:r>
        <w:t xml:space="preserve"> </w:t>
      </w:r>
      <w:r>
        <w:rPr>
          <w:rFonts w:hint="eastAsia"/>
        </w:rPr>
        <w:t>赵跃,陈衍荍.基于新版《医疗器械分类目录》的医用耗材字典库分类方案[J].医疗装 备,2021,34(5):70-71.</w:t>
      </w:r>
    </w:p>
    <w:p>
      <w:pPr>
        <w:pStyle w:val="57"/>
        <w:ind w:firstLine="420"/>
      </w:pPr>
      <w:r>
        <w:rPr>
          <w:rFonts w:hint="eastAsia"/>
        </w:rPr>
        <w:t>[10]</w:t>
      </w:r>
      <w:r>
        <w:t xml:space="preserve"> </w:t>
      </w:r>
      <w:r>
        <w:rPr>
          <w:rFonts w:hint="eastAsia"/>
        </w:rPr>
        <w:t xml:space="preserve">袁骏毅,尤丽珏.医院物资管理归类法编码的初步研究[J].中国医院,2006,9(10)：71-72   </w:t>
      </w:r>
    </w:p>
    <w:p>
      <w:pPr>
        <w:pStyle w:val="57"/>
        <w:ind w:firstLine="420"/>
      </w:pPr>
    </w:p>
    <w:bookmarkEnd w:id="42"/>
    <w:p>
      <w:pPr>
        <w:pStyle w:val="57"/>
        <w:ind w:firstLine="420"/>
      </w:pPr>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T/XXX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attachedTemplate r:id="rId1"/>
  <w:documentProtection w:edit="forms" w:enforcement="0"/>
  <w:defaultTabStop w:val="419"/>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kZWRkMzY4NDkxYjdkYTg0M2M5OWI3NDhkOTRlMTQifQ=="/>
    <w:docVar w:name="KSO_WPS_MARK_KEY" w:val="1685ce2a-1c94-46c1-a86c-8e7d55fa704c"/>
  </w:docVars>
  <w:rsids>
    <w:rsidRoot w:val="00391050"/>
    <w:rsid w:val="0000040A"/>
    <w:rsid w:val="00000A94"/>
    <w:rsid w:val="00001972"/>
    <w:rsid w:val="00001D9A"/>
    <w:rsid w:val="00007B3A"/>
    <w:rsid w:val="000107E0"/>
    <w:rsid w:val="00011BD8"/>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B8F"/>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6027"/>
    <w:rsid w:val="00137565"/>
    <w:rsid w:val="00141114"/>
    <w:rsid w:val="00142415"/>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8D1"/>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37E17"/>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0369"/>
    <w:rsid w:val="00381815"/>
    <w:rsid w:val="003819AF"/>
    <w:rsid w:val="003820E9"/>
    <w:rsid w:val="00382DE7"/>
    <w:rsid w:val="00384FFC"/>
    <w:rsid w:val="003872FC"/>
    <w:rsid w:val="00387ADC"/>
    <w:rsid w:val="00390020"/>
    <w:rsid w:val="003903D6"/>
    <w:rsid w:val="00390EE6"/>
    <w:rsid w:val="00391050"/>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45E8"/>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20BE"/>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C7F83"/>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37B14"/>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8C9"/>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07A3"/>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878DA"/>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099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4EB0"/>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3FE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11F2"/>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736"/>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1758"/>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03F3"/>
    <w:rsid w:val="00FF3E7D"/>
    <w:rsid w:val="00FF5B99"/>
    <w:rsid w:val="00FF730C"/>
    <w:rsid w:val="00FF73F4"/>
    <w:rsid w:val="00FF7CE4"/>
    <w:rsid w:val="00FF7E39"/>
    <w:rsid w:val="054474AE"/>
    <w:rsid w:val="0EB73C9F"/>
    <w:rsid w:val="1B797064"/>
    <w:rsid w:val="28FB65E3"/>
    <w:rsid w:val="2FC417D3"/>
    <w:rsid w:val="30F878AC"/>
    <w:rsid w:val="3D6A4D20"/>
    <w:rsid w:val="430B346F"/>
    <w:rsid w:val="431E31A2"/>
    <w:rsid w:val="47941C85"/>
    <w:rsid w:val="4856518C"/>
    <w:rsid w:val="5BB068A9"/>
    <w:rsid w:val="63AC7EFE"/>
    <w:rsid w:val="65BB267B"/>
    <w:rsid w:val="72CA214F"/>
    <w:rsid w:val="7E711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Date"/>
    <w:basedOn w:val="1"/>
    <w:next w:val="1"/>
    <w:link w:val="231"/>
    <w:semiHidden/>
    <w:unhideWhenUsed/>
    <w:qFormat/>
    <w:uiPriority w:val="0"/>
    <w:pPr>
      <w:adjustRightInd/>
      <w:spacing w:line="240" w:lineRule="auto"/>
      <w:ind w:left="100" w:leftChars="2500"/>
    </w:pPr>
    <w:rPr>
      <w:rFonts w:ascii="Times New Roman" w:hAnsi="Times New Roman"/>
      <w:szCs w:val="24"/>
    </w:rPr>
  </w:style>
  <w:style w:type="paragraph" w:styleId="17">
    <w:name w:val="Balloon Text"/>
    <w:basedOn w:val="1"/>
    <w:link w:val="46"/>
    <w:semiHidden/>
    <w:unhideWhenUsed/>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b/>
      <w:bCs/>
      <w:kern w:val="44"/>
      <w:sz w:val="44"/>
      <w:szCs w:val="44"/>
    </w:rPr>
  </w:style>
  <w:style w:type="character" w:customStyle="1" w:styleId="36">
    <w:name w:val="标题 2 字符"/>
    <w:link w:val="3"/>
    <w:qFormat/>
    <w:uiPriority w:val="0"/>
    <w:rPr>
      <w:rFonts w:ascii="Arial" w:hAnsi="Arial" w:eastAsia="黑体"/>
      <w:b/>
      <w:bCs/>
      <w:kern w:val="2"/>
      <w:sz w:val="32"/>
      <w:szCs w:val="32"/>
    </w:rPr>
  </w:style>
  <w:style w:type="character" w:customStyle="1" w:styleId="37">
    <w:name w:val="标题 3 字符"/>
    <w:link w:val="4"/>
    <w:qFormat/>
    <w:uiPriority w:val="0"/>
    <w:rPr>
      <w:b/>
      <w:bCs/>
      <w:kern w:val="2"/>
      <w:sz w:val="32"/>
      <w:szCs w:val="32"/>
    </w:rPr>
  </w:style>
  <w:style w:type="character" w:customStyle="1" w:styleId="38">
    <w:name w:val="标题 4 字符"/>
    <w:link w:val="5"/>
    <w:qFormat/>
    <w:uiPriority w:val="0"/>
    <w:rPr>
      <w:rFonts w:ascii="Arial" w:hAnsi="Arial" w:eastAsia="黑体"/>
      <w:b/>
      <w:bCs/>
      <w:kern w:val="2"/>
      <w:sz w:val="28"/>
      <w:szCs w:val="28"/>
    </w:rPr>
  </w:style>
  <w:style w:type="character" w:customStyle="1" w:styleId="39">
    <w:name w:val="标题 5 字符"/>
    <w:link w:val="6"/>
    <w:qFormat/>
    <w:uiPriority w:val="0"/>
    <w:rPr>
      <w:b/>
      <w:bCs/>
      <w:kern w:val="2"/>
      <w:sz w:val="28"/>
      <w:szCs w:val="28"/>
    </w:rPr>
  </w:style>
  <w:style w:type="character" w:customStyle="1" w:styleId="40">
    <w:name w:val="标题 6 字符"/>
    <w:link w:val="7"/>
    <w:qFormat/>
    <w:uiPriority w:val="0"/>
    <w:rPr>
      <w:rFonts w:ascii="Arial" w:hAnsi="Arial" w:eastAsia="黑体"/>
      <w:b/>
      <w:bCs/>
      <w:kern w:val="2"/>
      <w:sz w:val="24"/>
      <w:szCs w:val="24"/>
    </w:rPr>
  </w:style>
  <w:style w:type="character" w:customStyle="1" w:styleId="41">
    <w:name w:val="标题 7 字符"/>
    <w:link w:val="8"/>
    <w:qFormat/>
    <w:uiPriority w:val="0"/>
    <w:rPr>
      <w:b/>
      <w:bCs/>
      <w:kern w:val="2"/>
      <w:sz w:val="24"/>
      <w:szCs w:val="24"/>
    </w:rPr>
  </w:style>
  <w:style w:type="character" w:customStyle="1" w:styleId="42">
    <w:name w:val="标题 8 字符"/>
    <w:link w:val="9"/>
    <w:qFormat/>
    <w:uiPriority w:val="0"/>
    <w:rPr>
      <w:rFonts w:ascii="Arial" w:hAnsi="Arial" w:eastAsia="黑体"/>
      <w:kern w:val="2"/>
      <w:sz w:val="24"/>
      <w:szCs w:val="24"/>
    </w:rPr>
  </w:style>
  <w:style w:type="character" w:customStyle="1" w:styleId="43">
    <w:name w:val="标题 9 字符"/>
    <w:link w:val="10"/>
    <w:qFormat/>
    <w:uiPriority w:val="0"/>
    <w:rPr>
      <w:rFonts w:ascii="Arial" w:hAnsi="Arial" w:eastAsia="黑体"/>
      <w:kern w:val="2"/>
      <w:sz w:val="21"/>
      <w:szCs w:val="21"/>
    </w:rPr>
  </w:style>
  <w:style w:type="character" w:customStyle="1" w:styleId="44">
    <w:name w:val="页眉 字符"/>
    <w:link w:val="19"/>
    <w:qFormat/>
    <w:uiPriority w:val="99"/>
    <w:rPr>
      <w:kern w:val="2"/>
      <w:sz w:val="18"/>
      <w:szCs w:val="18"/>
    </w:rPr>
  </w:style>
  <w:style w:type="character" w:customStyle="1" w:styleId="45">
    <w:name w:val="页脚 字符"/>
    <w:link w:val="18"/>
    <w:qFormat/>
    <w:uiPriority w:val="99"/>
    <w:rPr>
      <w:rFonts w:ascii="宋体"/>
      <w:kern w:val="2"/>
      <w:sz w:val="18"/>
      <w:szCs w:val="18"/>
    </w:rPr>
  </w:style>
  <w:style w:type="character" w:customStyle="1" w:styleId="46">
    <w:name w:val="批注框文本 字符"/>
    <w:link w:val="17"/>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kern w:val="2"/>
      <w:sz w:val="21"/>
      <w:szCs w:val="21"/>
    </w:rPr>
  </w:style>
  <w:style w:type="character" w:customStyle="1" w:styleId="49">
    <w:name w:val="标题 字符"/>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2"/>
    <w:semiHidden/>
    <w:qFormat/>
    <w:uiPriority w:val="0"/>
    <w:rPr>
      <w:rFonts w:ascii="宋体"/>
      <w:kern w:val="2"/>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日期 字符"/>
    <w:basedOn w:val="29"/>
    <w:link w:val="16"/>
    <w:semiHidden/>
    <w:qFormat/>
    <w:uiPriority w:val="0"/>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83A764835D145B29993AEA3C90195AC"/>
        <w:style w:val=""/>
        <w:category>
          <w:name w:val="常规"/>
          <w:gallery w:val="placeholder"/>
        </w:category>
        <w:types>
          <w:type w:val="bbPlcHdr"/>
        </w:types>
        <w:behaviors>
          <w:behavior w:val="content"/>
        </w:behaviors>
        <w:description w:val=""/>
        <w:guid w:val="{CFE102F9-A38D-4D41-81CC-3D691FC713DB}"/>
      </w:docPartPr>
      <w:docPartBody>
        <w:p>
          <w:pPr>
            <w:pStyle w:val="5"/>
          </w:pPr>
          <w:r>
            <w:rPr>
              <w:rStyle w:val="4"/>
              <w:rFonts w:hint="eastAsia"/>
            </w:rPr>
            <w:t>单击或点击此处输入文字。</w:t>
          </w:r>
        </w:p>
      </w:docPartBody>
    </w:docPart>
    <w:docPart>
      <w:docPartPr>
        <w:name w:val="C3C7DA1163944F8092B4822B854B600B"/>
        <w:style w:val=""/>
        <w:category>
          <w:name w:val="常规"/>
          <w:gallery w:val="placeholder"/>
        </w:category>
        <w:types>
          <w:type w:val="bbPlcHdr"/>
        </w:types>
        <w:behaviors>
          <w:behavior w:val="content"/>
        </w:behaviors>
        <w:description w:val=""/>
        <w:guid w:val="{EEE309F1-CCB7-492A-A153-8B6835FDACC4}"/>
      </w:docPartPr>
      <w:docPartBody>
        <w:p>
          <w:pPr>
            <w:pStyle w:val="6"/>
          </w:pPr>
          <w:r>
            <w:rPr>
              <w:rStyle w:val="4"/>
              <w:rFonts w:hint="eastAsia"/>
            </w:rPr>
            <w:t>选择一项。</w:t>
          </w:r>
        </w:p>
      </w:docPartBody>
    </w:docPart>
    <w:docPart>
      <w:docPartPr>
        <w:name w:val="04FA610D0AED4600BE4A3CD19655FBFD"/>
        <w:style w:val=""/>
        <w:category>
          <w:name w:val="常规"/>
          <w:gallery w:val="placeholder"/>
        </w:category>
        <w:types>
          <w:type w:val="bbPlcHdr"/>
        </w:types>
        <w:behaviors>
          <w:behavior w:val="content"/>
        </w:behaviors>
        <w:description w:val=""/>
        <w:guid w:val="{24351FF2-7776-454E-9A98-56FA6A5A2508}"/>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0E"/>
    <w:rsid w:val="00166116"/>
    <w:rsid w:val="00340143"/>
    <w:rsid w:val="003762DE"/>
    <w:rsid w:val="00401B1E"/>
    <w:rsid w:val="00547422"/>
    <w:rsid w:val="00603749"/>
    <w:rsid w:val="00825C0E"/>
    <w:rsid w:val="00B27E96"/>
    <w:rsid w:val="00BC6B7C"/>
    <w:rsid w:val="00D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83A764835D145B29993AEA3C90195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3C7DA1163944F8092B4822B854B60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4FA610D0AED4600BE4A3CD19655FBF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F809-F1B0-47A2-BF3F-77BC97C7211C}">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8</Pages>
  <Words>5370</Words>
  <Characters>6191</Characters>
  <Lines>51</Lines>
  <Paragraphs>14</Paragraphs>
  <TotalTime>4</TotalTime>
  <ScaleCrop>false</ScaleCrop>
  <LinksUpToDate>false</LinksUpToDate>
  <CharactersWithSpaces>6329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2023-03-22T05:05:00Z</dcterms:created>
  <dc:creator>刘小洋</dc:creator>
  <dc:description>&lt;config cover="true" show_menu="true" version="1.0.0" doctype="SDKXY"&gt;_x000d_
&lt;/config&gt;</dc:description>
  <cp:lastModifiedBy>李浩</cp:lastModifiedBy>
  <cp:lastPrinted>2021-02-02T08:22:00Z</cp:lastPrinted>
  <dcterms:modified xsi:type="dcterms:W3CDTF">2023-04-21T06:35:51Z</dcterms:modified>
  <dc:title>团体标准</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2052-11.1.0.14036</vt:lpwstr>
  </property>
  <property fmtid="{D5CDD505-2E9C-101B-9397-08002B2CF9AE}" pid="15" name="ICV">
    <vt:lpwstr>50E12A77506D4C3D8E79F65D43306257</vt:lpwstr>
  </property>
</Properties>
</file>